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52039C">
      <w:pPr>
        <w:pStyle w:val="2"/>
        <w:tabs>
          <w:tab w:val="left" w:pos="910"/>
          <w:tab w:val="left" w:pos="911"/>
        </w:tabs>
        <w:ind w:left="-3" w:firstLine="3"/>
        <w:rPr>
          <w:rFonts w:hint="default" w:ascii="Arial Narrow" w:hAnsi="Arial Narrow" w:cs="Arial Narrow"/>
          <w:color w:val="auto"/>
          <w:spacing w:val="-44"/>
          <w:w w:val="90"/>
          <w:sz w:val="32"/>
          <w:szCs w:val="32"/>
          <w:highlight w:val="none"/>
          <w:lang w:val="sl-SI"/>
        </w:rPr>
      </w:pPr>
      <w:bookmarkStart w:id="0" w:name="_TOC_250003"/>
      <w:r>
        <w:rPr>
          <w:rFonts w:hint="default" w:ascii="Arial Narrow" w:hAnsi="Arial Narrow" w:cs="Arial Narrow"/>
          <w:color w:val="auto"/>
          <w:w w:val="90"/>
          <w:sz w:val="32"/>
          <w:szCs w:val="32"/>
          <w:highlight w:val="none"/>
        </w:rPr>
        <w:t>B  NATEČAJNA NALOGA</w:t>
      </w:r>
      <w:r>
        <w:rPr>
          <w:rFonts w:hint="default" w:ascii="Arial Narrow" w:hAnsi="Arial Narrow" w:cs="Arial Narrow"/>
          <w:color w:val="auto"/>
          <w:spacing w:val="-44"/>
          <w:w w:val="90"/>
          <w:sz w:val="32"/>
          <w:szCs w:val="32"/>
          <w:highlight w:val="none"/>
        </w:rPr>
        <w:t xml:space="preserve"> </w:t>
      </w:r>
      <w:bookmarkEnd w:id="0"/>
    </w:p>
    <w:p w14:paraId="5303221D">
      <w:pPr>
        <w:rPr>
          <w:rFonts w:hint="default" w:ascii="Arial Narrow" w:hAnsi="Arial Narrow" w:cs="Arial Narrow"/>
          <w:b/>
          <w:bCs/>
          <w:color w:val="auto"/>
          <w:highlight w:val="none"/>
          <w:lang w:val="sl-SI"/>
        </w:rPr>
      </w:pPr>
    </w:p>
    <w:p w14:paraId="4F8404A7">
      <w:pPr>
        <w:rPr>
          <w:rFonts w:hint="default" w:ascii="Arial Narrow" w:hAnsi="Arial Narrow" w:cs="Arial Narrow"/>
          <w:sz w:val="21"/>
          <w:szCs w:val="20"/>
          <w:lang w:val="sl-SI"/>
        </w:rPr>
      </w:pPr>
      <w:r>
        <w:rPr>
          <w:rFonts w:hint="default" w:ascii="Arial Narrow" w:hAnsi="Arial Narrow" w:cs="Arial Narrow"/>
          <w:sz w:val="21"/>
          <w:szCs w:val="20"/>
          <w:lang w:val="sl-SI"/>
        </w:rPr>
        <w:t xml:space="preserve">Občina Ormož, </w:t>
      </w:r>
    </w:p>
    <w:p w14:paraId="7581C5CF">
      <w:pPr>
        <w:rPr>
          <w:rFonts w:hint="default" w:ascii="Arial Narrow" w:hAnsi="Arial Narrow" w:cs="Arial Narrow"/>
          <w:sz w:val="21"/>
          <w:szCs w:val="20"/>
          <w:lang w:val="sl-SI"/>
        </w:rPr>
      </w:pPr>
      <w:r>
        <w:rPr>
          <w:rFonts w:hint="default" w:ascii="Arial Narrow" w:hAnsi="Arial Narrow" w:cs="Arial Narrow"/>
          <w:sz w:val="21"/>
          <w:szCs w:val="20"/>
          <w:lang w:val="sl-SI"/>
        </w:rPr>
        <w:t>Ptujska c. 6, 2270 Ormož</w:t>
      </w:r>
    </w:p>
    <w:p w14:paraId="718C0213">
      <w:pPr>
        <w:rPr>
          <w:rFonts w:hint="default" w:ascii="Arial Narrow" w:hAnsi="Arial Narrow" w:cs="Arial Narrow"/>
          <w:sz w:val="21"/>
          <w:szCs w:val="20"/>
        </w:rPr>
      </w:pPr>
    </w:p>
    <w:p w14:paraId="217F8591">
      <w:pPr>
        <w:rPr>
          <w:rFonts w:hint="default" w:ascii="Arial Narrow" w:hAnsi="Arial Narrow" w:cs="Arial Narrow"/>
          <w:sz w:val="21"/>
          <w:szCs w:val="20"/>
        </w:rPr>
      </w:pPr>
      <w:r>
        <w:rPr>
          <w:rFonts w:hint="default" w:ascii="Arial Narrow" w:hAnsi="Arial Narrow" w:cs="Arial Narrow"/>
          <w:sz w:val="21"/>
          <w:szCs w:val="20"/>
        </w:rPr>
        <w:t>v sodelovanju z</w:t>
      </w:r>
    </w:p>
    <w:p w14:paraId="3E71CB0D">
      <w:pPr>
        <w:rPr>
          <w:rFonts w:hint="default" w:ascii="Arial Narrow" w:hAnsi="Arial Narrow" w:cs="Arial Narrow"/>
          <w:sz w:val="21"/>
          <w:szCs w:val="20"/>
        </w:rPr>
      </w:pPr>
    </w:p>
    <w:p w14:paraId="34A842D4">
      <w:pPr>
        <w:rPr>
          <w:rFonts w:hint="default" w:ascii="Arial Narrow" w:hAnsi="Arial Narrow" w:cs="Arial Narrow"/>
          <w:sz w:val="21"/>
          <w:szCs w:val="20"/>
        </w:rPr>
      </w:pPr>
      <w:r>
        <w:rPr>
          <w:rFonts w:hint="default" w:ascii="Arial Narrow" w:hAnsi="Arial Narrow" w:cs="Arial Narrow"/>
          <w:sz w:val="21"/>
          <w:szCs w:val="20"/>
          <w:lang w:val="sl-SI"/>
        </w:rPr>
        <w:t>DRUŠTVOM ARHITEKTOV MARIBOR</w:t>
      </w:r>
      <w:r>
        <w:rPr>
          <w:rFonts w:hint="default" w:ascii="Arial Narrow" w:hAnsi="Arial Narrow" w:cs="Arial Narrow"/>
          <w:sz w:val="21"/>
          <w:szCs w:val="20"/>
        </w:rPr>
        <w:t xml:space="preserve"> </w:t>
      </w:r>
    </w:p>
    <w:p w14:paraId="6F0EF11F">
      <w:pPr>
        <w:rPr>
          <w:rFonts w:hint="default" w:ascii="Arial Narrow" w:hAnsi="Arial Narrow" w:cs="Arial Narrow"/>
          <w:sz w:val="21"/>
          <w:szCs w:val="20"/>
          <w:lang w:val="sl-SI"/>
        </w:rPr>
      </w:pPr>
      <w:r>
        <w:rPr>
          <w:rFonts w:hint="default" w:ascii="Arial Narrow" w:hAnsi="Arial Narrow" w:cs="Arial Narrow"/>
          <w:sz w:val="21"/>
          <w:szCs w:val="20"/>
        </w:rPr>
        <w:t>Ve</w:t>
      </w:r>
      <w:r>
        <w:rPr>
          <w:rFonts w:hint="default" w:ascii="Arial Narrow" w:hAnsi="Arial Narrow" w:cs="Arial Narrow"/>
          <w:sz w:val="21"/>
          <w:szCs w:val="20"/>
          <w:lang w:val="sl-SI"/>
        </w:rPr>
        <w:t>trinjska ulica 30, 2000 Maribor</w:t>
      </w:r>
    </w:p>
    <w:p w14:paraId="2A7B475C">
      <w:pPr>
        <w:jc w:val="both"/>
        <w:rPr>
          <w:rFonts w:hint="default" w:ascii="Arial Narrow" w:hAnsi="Arial Narrow" w:cs="Arial Narrow"/>
          <w:sz w:val="28"/>
          <w:szCs w:val="28"/>
        </w:rPr>
      </w:pPr>
    </w:p>
    <w:p w14:paraId="3A6D0F44">
      <w:pPr>
        <w:jc w:val="both"/>
        <w:rPr>
          <w:rFonts w:hint="default" w:ascii="Arial Narrow" w:hAnsi="Arial Narrow" w:cs="Arial Narrow"/>
          <w:sz w:val="28"/>
          <w:szCs w:val="28"/>
        </w:rPr>
      </w:pPr>
    </w:p>
    <w:p w14:paraId="1FBEFFD7">
      <w:pPr>
        <w:rPr>
          <w:rFonts w:hint="default" w:ascii="Arial Narrow" w:hAnsi="Arial Narrow" w:cs="Arial Narrow"/>
          <w:caps/>
          <w:sz w:val="28"/>
          <w:szCs w:val="28"/>
          <w:lang w:val="sl-SI"/>
        </w:rPr>
      </w:pPr>
      <w:r>
        <w:rPr>
          <w:rFonts w:hint="default" w:ascii="Arial Narrow" w:hAnsi="Arial Narrow" w:cs="Arial Narrow"/>
          <w:caps/>
          <w:sz w:val="28"/>
          <w:szCs w:val="28"/>
        </w:rPr>
        <w:t xml:space="preserve">ANONIMNI, </w:t>
      </w:r>
      <w:r>
        <w:rPr>
          <w:rFonts w:hint="default" w:ascii="Arial Narrow" w:hAnsi="Arial Narrow" w:cs="Arial Narrow"/>
          <w:caps/>
          <w:sz w:val="28"/>
          <w:szCs w:val="28"/>
          <w:lang w:val="sl-SI"/>
        </w:rPr>
        <w:t>P</w:t>
      </w:r>
      <w:r>
        <w:rPr>
          <w:rFonts w:hint="default" w:ascii="Arial Narrow" w:hAnsi="Arial Narrow" w:cs="Arial Narrow"/>
          <w:caps/>
          <w:sz w:val="28"/>
          <w:szCs w:val="28"/>
        </w:rPr>
        <w:t>ROJEKTNI</w:t>
      </w:r>
      <w:r>
        <w:rPr>
          <w:rFonts w:hint="default" w:ascii="Arial Narrow" w:hAnsi="Arial Narrow" w:cs="Arial Narrow"/>
          <w:caps/>
          <w:sz w:val="28"/>
          <w:szCs w:val="28"/>
          <w:lang w:val="sl-SI"/>
        </w:rPr>
        <w:t>,</w:t>
      </w:r>
      <w:r>
        <w:rPr>
          <w:rFonts w:hint="default" w:ascii="Arial Narrow" w:hAnsi="Arial Narrow" w:cs="Arial Narrow"/>
          <w:caps/>
          <w:sz w:val="28"/>
          <w:szCs w:val="28"/>
        </w:rPr>
        <w:t xml:space="preserve"> </w:t>
      </w:r>
      <w:r>
        <w:rPr>
          <w:rFonts w:hint="default" w:ascii="Arial Narrow" w:hAnsi="Arial Narrow" w:cs="Arial Narrow"/>
          <w:caps/>
          <w:sz w:val="28"/>
          <w:szCs w:val="28"/>
          <w:lang w:val="sl-SI"/>
        </w:rPr>
        <w:t>enO</w:t>
      </w:r>
      <w:r>
        <w:rPr>
          <w:rFonts w:hint="default" w:ascii="Arial Narrow" w:hAnsi="Arial Narrow" w:cs="Arial Narrow"/>
          <w:caps/>
          <w:sz w:val="28"/>
          <w:szCs w:val="28"/>
        </w:rPr>
        <w:t xml:space="preserve">STOPENJSKI </w:t>
      </w:r>
      <w:r>
        <w:rPr>
          <w:rFonts w:hint="default" w:ascii="Arial Narrow" w:hAnsi="Arial Narrow" w:cs="Arial Narrow"/>
          <w:caps/>
          <w:sz w:val="28"/>
          <w:szCs w:val="28"/>
          <w:lang w:val="sl-SI"/>
        </w:rPr>
        <w:t xml:space="preserve">ARHITEKTURNI </w:t>
      </w:r>
      <w:r>
        <w:rPr>
          <w:rFonts w:hint="default" w:ascii="Arial Narrow" w:hAnsi="Arial Narrow" w:cs="Arial Narrow"/>
          <w:caps/>
          <w:sz w:val="28"/>
          <w:szCs w:val="28"/>
        </w:rPr>
        <w:t>NATEČAJ</w:t>
      </w:r>
      <w:r>
        <w:rPr>
          <w:rFonts w:hint="default" w:ascii="Arial Narrow" w:hAnsi="Arial Narrow" w:cs="Arial Narrow"/>
          <w:caps/>
          <w:sz w:val="28"/>
          <w:szCs w:val="28"/>
          <w:lang w:val="sl-SI"/>
        </w:rPr>
        <w:t xml:space="preserve"> </w:t>
      </w:r>
    </w:p>
    <w:p w14:paraId="2F67781F">
      <w:pPr>
        <w:rPr>
          <w:rFonts w:hint="default" w:ascii="Arial Narrow" w:hAnsi="Arial Narrow" w:cs="Arial Narrow"/>
          <w:caps/>
          <w:sz w:val="28"/>
          <w:szCs w:val="28"/>
        </w:rPr>
      </w:pPr>
      <w:r>
        <w:rPr>
          <w:rFonts w:hint="default" w:ascii="Arial Narrow" w:hAnsi="Arial Narrow" w:cs="Arial Narrow"/>
          <w:caps/>
          <w:sz w:val="28"/>
          <w:szCs w:val="28"/>
        </w:rPr>
        <w:t xml:space="preserve">ZA IZBIRO STROKOVNO NAJPRIMERNEJŠE REŠITVE ZA </w:t>
      </w:r>
    </w:p>
    <w:p w14:paraId="20112B3E">
      <w:pPr>
        <w:rPr>
          <w:rFonts w:hint="default" w:ascii="Arial Narrow" w:hAnsi="Arial Narrow" w:cs="Arial Narrow"/>
          <w:b/>
          <w:sz w:val="36"/>
          <w:szCs w:val="36"/>
          <w:lang w:val="sl-SI" w:eastAsia="en-US"/>
        </w:rPr>
      </w:pPr>
      <w:r>
        <w:rPr>
          <w:rFonts w:hint="default" w:ascii="Arial Narrow" w:hAnsi="Arial Narrow" w:cs="Arial Narrow"/>
          <w:b/>
          <w:sz w:val="36"/>
          <w:szCs w:val="36"/>
          <w:lang w:val="sl-SI" w:eastAsia="en-US"/>
        </w:rPr>
        <w:t>NOVOGRADNJO OSNOVNE ŠOLE VELIKA NEDELJA</w:t>
      </w:r>
    </w:p>
    <w:p w14:paraId="4FF2185B">
      <w:pPr>
        <w:rPr>
          <w:rFonts w:hint="default" w:ascii="Arial Narrow" w:hAnsi="Arial Narrow" w:cs="Arial Narrow"/>
          <w:b/>
          <w:sz w:val="36"/>
          <w:szCs w:val="36"/>
          <w:lang w:val="sl-SI" w:eastAsia="en-US"/>
        </w:rPr>
      </w:pPr>
      <w:r>
        <w:rPr>
          <w:rFonts w:hint="default" w:ascii="Arial Narrow" w:hAnsi="Arial Narrow" w:cs="Arial Narrow"/>
          <w:b/>
          <w:sz w:val="36"/>
          <w:szCs w:val="36"/>
          <w:lang w:val="sl-SI" w:eastAsia="en-US"/>
        </w:rPr>
        <w:t>V OBČINI ORMOŽ</w:t>
      </w:r>
    </w:p>
    <w:p w14:paraId="2DE60708">
      <w:pPr>
        <w:rPr>
          <w:rFonts w:hint="default" w:ascii="Arial Narrow" w:hAnsi="Arial Narrow" w:cs="Arial Narrow"/>
          <w:b/>
          <w:sz w:val="36"/>
          <w:szCs w:val="36"/>
          <w:lang w:val="sl-SI" w:eastAsia="en-US"/>
        </w:rPr>
      </w:pPr>
    </w:p>
    <w:p w14:paraId="034A0745">
      <w:pPr>
        <w:jc w:val="both"/>
        <w:rPr>
          <w:rFonts w:hint="default" w:ascii="Arial Narrow" w:hAnsi="Arial Narrow" w:cs="Arial Narrow"/>
        </w:rPr>
      </w:pPr>
      <w:r>
        <w:drawing>
          <wp:inline distT="0" distB="0" distL="114300" distR="114300">
            <wp:extent cx="4388485" cy="4043045"/>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pic:cNvPicPr>
                      <a:picLocks noChangeAspect="1"/>
                    </pic:cNvPicPr>
                  </pic:nvPicPr>
                  <pic:blipFill>
                    <a:blip r:embed="rId8"/>
                    <a:srcRect r="3706" b="2212"/>
                    <a:stretch>
                      <a:fillRect/>
                    </a:stretch>
                  </pic:blipFill>
                  <pic:spPr>
                    <a:xfrm>
                      <a:off x="0" y="0"/>
                      <a:ext cx="4388485" cy="4043045"/>
                    </a:xfrm>
                    <a:prstGeom prst="rect">
                      <a:avLst/>
                    </a:prstGeom>
                    <a:noFill/>
                    <a:ln>
                      <a:noFill/>
                    </a:ln>
                  </pic:spPr>
                </pic:pic>
              </a:graphicData>
            </a:graphic>
          </wp:inline>
        </w:drawing>
      </w:r>
    </w:p>
    <w:p w14:paraId="72BBF874">
      <w:pPr>
        <w:jc w:val="both"/>
        <w:rPr>
          <w:rFonts w:hint="default" w:ascii="Arial Narrow" w:hAnsi="Arial Narrow" w:cs="Arial Narrow"/>
          <w:sz w:val="21"/>
          <w:szCs w:val="21"/>
        </w:rPr>
      </w:pPr>
    </w:p>
    <w:p w14:paraId="33D7046E">
      <w:pPr>
        <w:jc w:val="both"/>
        <w:rPr>
          <w:rFonts w:hint="default" w:ascii="Arial Narrow" w:hAnsi="Arial Narrow" w:cs="Arial Narrow"/>
          <w:sz w:val="21"/>
          <w:szCs w:val="21"/>
        </w:rPr>
      </w:pPr>
    </w:p>
    <w:p w14:paraId="0D39F0CC">
      <w:pPr>
        <w:jc w:val="both"/>
        <w:rPr>
          <w:rFonts w:hint="default" w:ascii="Arial Narrow" w:hAnsi="Arial Narrow" w:cs="Arial Narrow"/>
          <w:sz w:val="21"/>
          <w:szCs w:val="21"/>
          <w:lang w:val="sl-SI"/>
        </w:rPr>
      </w:pPr>
      <w:r>
        <w:rPr>
          <w:rFonts w:hint="default" w:ascii="Arial Narrow" w:hAnsi="Arial Narrow" w:cs="Arial Narrow"/>
          <w:sz w:val="21"/>
          <w:szCs w:val="21"/>
          <w:lang w:val="sl-SI"/>
        </w:rPr>
        <w:t>December 2024</w:t>
      </w:r>
    </w:p>
    <w:p w14:paraId="4E0EBCC3">
      <w:pPr>
        <w:jc w:val="both"/>
        <w:rPr>
          <w:rFonts w:hint="default" w:ascii="Arial Narrow" w:hAnsi="Arial Narrow" w:cs="Arial Narrow"/>
          <w:sz w:val="21"/>
          <w:szCs w:val="21"/>
        </w:rPr>
      </w:pPr>
    </w:p>
    <w:p w14:paraId="1FE10DB9">
      <w:pPr>
        <w:jc w:val="both"/>
        <w:rPr>
          <w:rFonts w:hint="default" w:ascii="Arial Narrow" w:hAnsi="Arial Narrow" w:cs="Arial Narrow"/>
          <w:sz w:val="21"/>
          <w:szCs w:val="21"/>
        </w:rPr>
      </w:pPr>
      <w:r>
        <w:rPr>
          <w:rFonts w:hint="default" w:ascii="Arial Narrow" w:hAnsi="Arial Narrow" w:cs="Arial Narrow"/>
          <w:sz w:val="21"/>
          <w:szCs w:val="21"/>
        </w:rPr>
        <w:t>Izdelovalec natečajne naloge</w:t>
      </w:r>
    </w:p>
    <w:p w14:paraId="2BF46045">
      <w:pPr>
        <w:jc w:val="both"/>
        <w:rPr>
          <w:rFonts w:hint="default" w:ascii="Arial Narrow" w:hAnsi="Arial Narrow" w:cs="Arial Narrow"/>
          <w:sz w:val="21"/>
          <w:szCs w:val="21"/>
        </w:rPr>
      </w:pPr>
      <w:r>
        <w:rPr>
          <w:rFonts w:hint="default" w:ascii="Arial Narrow" w:hAnsi="Arial Narrow" w:cs="Arial Narrow"/>
          <w:sz w:val="21"/>
          <w:szCs w:val="21"/>
          <w:lang w:val="sl-SI"/>
        </w:rPr>
        <w:t>Društvo arhitektov Maribor, Vetrinjska ulica 30, 2000 Maribor</w:t>
      </w:r>
    </w:p>
    <w:p w14:paraId="4D964628">
      <w:pPr>
        <w:jc w:val="both"/>
        <w:rPr>
          <w:rFonts w:hint="default" w:ascii="Arial Narrow" w:hAnsi="Arial Narrow" w:cs="Arial Narrow"/>
          <w:sz w:val="21"/>
          <w:szCs w:val="21"/>
        </w:rPr>
      </w:pPr>
    </w:p>
    <w:p w14:paraId="616B81B3">
      <w:pPr>
        <w:jc w:val="both"/>
        <w:rPr>
          <w:rFonts w:hint="default" w:ascii="Arial Narrow" w:hAnsi="Arial Narrow" w:cs="Arial Narrow"/>
          <w:sz w:val="21"/>
          <w:szCs w:val="21"/>
        </w:rPr>
      </w:pPr>
      <w:r>
        <w:rPr>
          <w:rFonts w:hint="default" w:ascii="Arial Narrow" w:hAnsi="Arial Narrow" w:cs="Arial Narrow"/>
          <w:sz w:val="21"/>
          <w:szCs w:val="21"/>
        </w:rPr>
        <w:t>Odgovorna oseba izdelovalca</w:t>
      </w:r>
    </w:p>
    <w:p w14:paraId="04C81110">
      <w:pPr>
        <w:jc w:val="both"/>
        <w:rPr>
          <w:rFonts w:hint="default" w:ascii="Arial Narrow" w:hAnsi="Arial Narrow" w:cs="Arial Narrow"/>
          <w:sz w:val="21"/>
          <w:szCs w:val="21"/>
          <w:lang w:val="sl-SI"/>
        </w:rPr>
      </w:pPr>
      <w:r>
        <w:rPr>
          <w:rFonts w:hint="default" w:ascii="Arial Narrow" w:hAnsi="Arial Narrow" w:cs="Arial Narrow"/>
          <w:sz w:val="21"/>
          <w:szCs w:val="21"/>
          <w:lang w:val="sl-SI"/>
        </w:rPr>
        <w:t>dr. Andrej Šmid, univ.dipl.inž.arh., ZAPS A-0977, predsednik DAM</w:t>
      </w:r>
    </w:p>
    <w:p w14:paraId="157D4FBF">
      <w:pPr>
        <w:spacing w:line="276" w:lineRule="auto"/>
        <w:jc w:val="both"/>
        <w:rPr>
          <w:rFonts w:hint="default" w:ascii="Arial Narrow" w:hAnsi="Arial Narrow" w:cs="Arial Narrow"/>
          <w:i/>
          <w:iCs/>
          <w:color w:val="002060"/>
          <w:sz w:val="22"/>
          <w:szCs w:val="22"/>
        </w:rPr>
      </w:pPr>
    </w:p>
    <w:p w14:paraId="69BE6A7E">
      <w:pPr>
        <w:jc w:val="both"/>
        <w:rPr>
          <w:rFonts w:hint="default" w:ascii="Arial Narrow" w:hAnsi="Arial Narrow" w:cs="Arial Narrow"/>
          <w:i/>
          <w:iCs/>
          <w:sz w:val="24"/>
          <w:szCs w:val="24"/>
          <w:lang w:val="hr-HR"/>
        </w:rPr>
      </w:pPr>
    </w:p>
    <w:p w14:paraId="32A3FE8C">
      <w:pPr>
        <w:jc w:val="both"/>
        <w:rPr>
          <w:rFonts w:hint="default" w:ascii="Arial Narrow" w:hAnsi="Arial Narrow" w:cs="Arial Narrow"/>
          <w:i/>
          <w:iCs/>
          <w:sz w:val="24"/>
          <w:szCs w:val="24"/>
          <w:lang w:val="hr-HR"/>
        </w:rPr>
      </w:pPr>
      <w:bookmarkStart w:id="1" w:name="_GoBack"/>
      <w:bookmarkEnd w:id="1"/>
    </w:p>
    <w:p w14:paraId="1D0CCEB7">
      <w:pPr>
        <w:jc w:val="both"/>
        <w:rPr>
          <w:rFonts w:hint="default" w:ascii="Arial Narrow" w:hAnsi="Arial Narrow" w:cs="Arial Narrow"/>
          <w:i/>
          <w:iCs/>
          <w:color w:val="0000FF"/>
          <w:sz w:val="24"/>
          <w:szCs w:val="24"/>
          <w:lang w:val="sl-SI"/>
        </w:rPr>
      </w:pPr>
      <w:r>
        <w:rPr>
          <w:rFonts w:hint="default" w:ascii="Arial Narrow" w:hAnsi="Arial Narrow" w:cs="Arial Narrow"/>
          <w:i/>
          <w:iCs/>
          <w:color w:val="0000FF"/>
          <w:sz w:val="24"/>
          <w:szCs w:val="24"/>
          <w:lang w:val="sl-SI"/>
        </w:rPr>
        <w:t>Nagovor razpisovalca</w:t>
      </w:r>
    </w:p>
    <w:p w14:paraId="6BB7AA0B">
      <w:pPr>
        <w:jc w:val="both"/>
        <w:rPr>
          <w:rFonts w:hint="default" w:ascii="Arial Narrow" w:hAnsi="Arial Narrow" w:cs="Arial Narrow"/>
          <w:i/>
          <w:iCs/>
          <w:color w:val="0000FF"/>
          <w:sz w:val="24"/>
          <w:szCs w:val="24"/>
          <w:highlight w:val="none"/>
          <w:lang w:val="sl-SI"/>
        </w:rPr>
      </w:pPr>
    </w:p>
    <w:p w14:paraId="27D3D7A9">
      <w:pPr>
        <w:jc w:val="both"/>
        <w:rPr>
          <w:rFonts w:hint="default" w:ascii="Arial Narrow" w:hAnsi="Arial Narrow" w:cs="Arial Narrow"/>
          <w:i/>
          <w:iCs/>
          <w:color w:val="0000FF"/>
          <w:sz w:val="24"/>
          <w:szCs w:val="24"/>
          <w:highlight w:val="none"/>
          <w:lang w:val="sl-SI"/>
        </w:rPr>
      </w:pPr>
      <w:r>
        <w:rPr>
          <w:rFonts w:hint="default" w:ascii="Arial Narrow" w:hAnsi="Arial Narrow" w:cs="Arial Narrow"/>
          <w:i/>
          <w:iCs/>
          <w:color w:val="0000FF"/>
          <w:sz w:val="24"/>
          <w:szCs w:val="24"/>
          <w:highlight w:val="none"/>
          <w:lang w:val="sl-SI"/>
        </w:rPr>
        <w:t>Prostorski razvoj kot ena od ključnih dejavnosti lokalne skupnosti vključuje tudi gradnjo in vzdrževanje mreže objektov družbenih dejavnosti, med katere spadajo tudi objekti za vzgojo in izobraževanje.</w:t>
      </w:r>
    </w:p>
    <w:p w14:paraId="505C8E6B">
      <w:pPr>
        <w:jc w:val="both"/>
        <w:rPr>
          <w:rFonts w:hint="default" w:ascii="Arial Narrow" w:hAnsi="Arial Narrow" w:cs="Arial Narrow"/>
          <w:i/>
          <w:iCs/>
          <w:color w:val="0000FF"/>
          <w:sz w:val="24"/>
          <w:szCs w:val="24"/>
          <w:highlight w:val="none"/>
          <w:lang w:val="sl-SI"/>
        </w:rPr>
      </w:pPr>
    </w:p>
    <w:p w14:paraId="525EBB18">
      <w:pPr>
        <w:jc w:val="both"/>
        <w:rPr>
          <w:rFonts w:hint="default" w:ascii="Arial Narrow" w:hAnsi="Arial Narrow" w:cs="Arial Narrow"/>
          <w:i/>
          <w:iCs/>
          <w:color w:val="0000FF"/>
          <w:sz w:val="24"/>
          <w:szCs w:val="24"/>
          <w:highlight w:val="none"/>
          <w:lang w:val="sl-SI"/>
        </w:rPr>
      </w:pPr>
      <w:r>
        <w:rPr>
          <w:rFonts w:hint="default" w:ascii="Arial Narrow" w:hAnsi="Arial Narrow" w:cs="Arial Narrow"/>
          <w:i/>
          <w:iCs/>
          <w:color w:val="0000FF"/>
          <w:sz w:val="24"/>
          <w:szCs w:val="24"/>
          <w:highlight w:val="none"/>
          <w:lang w:val="sl-SI"/>
        </w:rPr>
        <w:t>Ob razvoju središčnih dejavnosti v naselju Velika Nedelja je izrazit potencial prostora širšega historičnega središča pripeljal do odločitve, da se prostorske kapacitete OŠ Velika Nedelja premestijo na lokacijo, ki že izkazuje potenciale za gradnjo novega, sodobnega šolskega objekta, ki naj izpolnjuje najvišje standarde za zagotavljanje šolskih prostorov in površin.</w:t>
      </w:r>
    </w:p>
    <w:p w14:paraId="757E9398">
      <w:pPr>
        <w:jc w:val="both"/>
        <w:rPr>
          <w:rFonts w:hint="default" w:ascii="Arial Narrow" w:hAnsi="Arial Narrow" w:cs="Arial Narrow"/>
          <w:i/>
          <w:iCs/>
          <w:color w:val="0000FF"/>
          <w:sz w:val="24"/>
          <w:szCs w:val="24"/>
          <w:highlight w:val="none"/>
          <w:lang w:val="sl-SI"/>
        </w:rPr>
      </w:pPr>
    </w:p>
    <w:p w14:paraId="4AC771A5">
      <w:pPr>
        <w:jc w:val="both"/>
        <w:rPr>
          <w:rFonts w:hint="default" w:ascii="Arial Narrow" w:hAnsi="Arial Narrow" w:cs="Arial Narrow"/>
          <w:i/>
          <w:iCs/>
          <w:color w:val="0000FF"/>
          <w:sz w:val="24"/>
          <w:szCs w:val="24"/>
          <w:highlight w:val="none"/>
          <w:lang w:val="sl-SI"/>
        </w:rPr>
      </w:pPr>
      <w:r>
        <w:rPr>
          <w:rFonts w:hint="default" w:ascii="Arial Narrow" w:hAnsi="Arial Narrow" w:cs="Arial Narrow"/>
          <w:i/>
          <w:iCs/>
          <w:color w:val="0000FF"/>
          <w:sz w:val="24"/>
          <w:szCs w:val="24"/>
          <w:highlight w:val="none"/>
          <w:lang w:val="sl-SI"/>
        </w:rPr>
        <w:t>Načrtovana novogradnja objekta osnovne šole Velika Nedelja pomeni zaokrožitev že obstoječega kompleksa športnih dejavnosti in ureditev že pričetih razvojnih postopkov stavbe in kompleksa, nov šolski objekt naj zaokroži rob središčnih dejavnosti naselja.</w:t>
      </w:r>
    </w:p>
    <w:p w14:paraId="3EDAC8FD">
      <w:pPr>
        <w:jc w:val="both"/>
        <w:rPr>
          <w:rFonts w:hint="default" w:ascii="Arial Narrow" w:hAnsi="Arial Narrow" w:cs="Arial Narrow"/>
          <w:i/>
          <w:iCs/>
          <w:color w:val="0000FF"/>
          <w:sz w:val="24"/>
          <w:szCs w:val="24"/>
          <w:highlight w:val="none"/>
          <w:lang w:val="sl-SI"/>
        </w:rPr>
      </w:pPr>
    </w:p>
    <w:p w14:paraId="6473BB04">
      <w:pPr>
        <w:jc w:val="both"/>
        <w:rPr>
          <w:rFonts w:hint="default" w:ascii="Arial Narrow" w:hAnsi="Arial Narrow" w:cs="Arial Narrow"/>
          <w:i/>
          <w:iCs/>
          <w:color w:val="0000FF"/>
          <w:sz w:val="24"/>
          <w:szCs w:val="24"/>
          <w:highlight w:val="none"/>
          <w:lang w:val="sl-SI"/>
        </w:rPr>
      </w:pPr>
      <w:r>
        <w:rPr>
          <w:rFonts w:hint="default" w:ascii="Arial Narrow" w:hAnsi="Arial Narrow" w:cs="Arial Narrow"/>
          <w:i/>
          <w:iCs/>
          <w:color w:val="0000FF"/>
          <w:sz w:val="24"/>
          <w:szCs w:val="24"/>
          <w:highlight w:val="none"/>
          <w:lang w:val="sl-SI"/>
        </w:rPr>
        <w:t>Natečajnikom želimo uspešno delo, iskrive zamisli in ustrezno umestitev v prostor in oblikovanje nove šolske stavbe, prepričan sem, da jo bomo občani občine Obmož in naselja Velika Nedelja hitro posvojili in intenzivno uporabljali.</w:t>
      </w:r>
    </w:p>
    <w:p w14:paraId="2274467F">
      <w:pPr>
        <w:jc w:val="both"/>
        <w:rPr>
          <w:rFonts w:hint="default" w:ascii="Arial Narrow" w:hAnsi="Arial Narrow" w:cs="Arial Narrow"/>
          <w:i/>
          <w:iCs/>
          <w:color w:val="0000FF"/>
          <w:sz w:val="24"/>
          <w:szCs w:val="24"/>
          <w:highlight w:val="none"/>
          <w:lang w:val="sl-SI"/>
        </w:rPr>
      </w:pPr>
    </w:p>
    <w:p w14:paraId="18C50FB3">
      <w:pPr>
        <w:jc w:val="both"/>
        <w:rPr>
          <w:rFonts w:hint="default" w:ascii="Arial Narrow" w:hAnsi="Arial Narrow" w:cs="Arial Narrow"/>
          <w:i/>
          <w:iCs/>
          <w:color w:val="0000FF"/>
          <w:sz w:val="24"/>
          <w:szCs w:val="24"/>
          <w:highlight w:val="none"/>
          <w:lang w:val="sl-SI"/>
        </w:rPr>
      </w:pPr>
      <w:r>
        <w:rPr>
          <w:rFonts w:hint="default" w:ascii="Arial Narrow" w:hAnsi="Arial Narrow" w:cs="Arial Narrow"/>
          <w:i/>
          <w:iCs/>
          <w:color w:val="0000FF"/>
          <w:sz w:val="24"/>
          <w:szCs w:val="24"/>
          <w:highlight w:val="none"/>
          <w:lang w:val="sl-SI"/>
        </w:rPr>
        <w:t>Župan občine Ormož</w:t>
      </w:r>
    </w:p>
    <w:p w14:paraId="278C8B50">
      <w:pPr>
        <w:jc w:val="both"/>
        <w:rPr>
          <w:rFonts w:hint="default" w:ascii="Arial Narrow" w:hAnsi="Arial Narrow" w:cs="Arial Narrow"/>
          <w:i/>
          <w:iCs/>
          <w:color w:val="0000FF"/>
          <w:sz w:val="24"/>
          <w:szCs w:val="24"/>
          <w:highlight w:val="none"/>
          <w:lang w:val="sl-SI"/>
        </w:rPr>
      </w:pPr>
      <w:r>
        <w:rPr>
          <w:rFonts w:hint="default" w:ascii="Arial Narrow" w:hAnsi="Arial Narrow" w:cs="Arial Narrow"/>
          <w:i/>
          <w:iCs/>
          <w:color w:val="0000FF"/>
          <w:sz w:val="24"/>
          <w:szCs w:val="24"/>
          <w:highlight w:val="none"/>
          <w:lang w:val="sl-SI"/>
        </w:rPr>
        <w:t>Danijel Vrbnjak</w:t>
      </w:r>
    </w:p>
    <w:p w14:paraId="74216255">
      <w:pPr>
        <w:jc w:val="both"/>
        <w:rPr>
          <w:rFonts w:hint="default" w:ascii="Arial Narrow" w:hAnsi="Arial Narrow" w:cs="Arial Narrow"/>
          <w:i/>
          <w:iCs/>
          <w:color w:val="0070C0"/>
          <w:sz w:val="24"/>
          <w:szCs w:val="24"/>
          <w:lang w:val="hr-HR"/>
        </w:rPr>
      </w:pPr>
    </w:p>
    <w:p w14:paraId="0625053D">
      <w:pPr>
        <w:pStyle w:val="3"/>
        <w:spacing w:line="511" w:lineRule="auto"/>
        <w:ind w:left="-3" w:right="4226" w:firstLine="3"/>
        <w:rPr>
          <w:rFonts w:hint="default" w:ascii="Arial Narrow" w:hAnsi="Arial Narrow" w:cs="Arial Narrow"/>
          <w:color w:val="auto"/>
          <w:sz w:val="28"/>
          <w:szCs w:val="28"/>
          <w:highlight w:val="none"/>
        </w:rPr>
      </w:pPr>
      <w:r>
        <w:rPr>
          <w:rFonts w:hint="default" w:ascii="Arial Narrow" w:hAnsi="Arial Narrow" w:cs="Arial Narrow"/>
          <w:color w:val="auto"/>
          <w:sz w:val="28"/>
          <w:szCs w:val="28"/>
          <w:highlight w:val="none"/>
        </w:rPr>
        <w:br w:type="page"/>
      </w:r>
    </w:p>
    <w:p w14:paraId="6A70A3A4">
      <w:pPr>
        <w:pStyle w:val="3"/>
        <w:spacing w:line="511" w:lineRule="auto"/>
        <w:ind w:left="-3" w:right="4226" w:firstLine="3"/>
        <w:rPr>
          <w:rFonts w:hint="default" w:ascii="Arial Narrow" w:hAnsi="Arial Narrow" w:cs="Arial Narrow"/>
          <w:color w:val="auto"/>
          <w:sz w:val="28"/>
          <w:szCs w:val="28"/>
          <w:highlight w:val="none"/>
        </w:rPr>
      </w:pPr>
      <w:r>
        <w:rPr>
          <w:rFonts w:hint="default" w:ascii="Arial Narrow" w:hAnsi="Arial Narrow" w:cs="Arial Narrow"/>
          <w:color w:val="auto"/>
          <w:sz w:val="28"/>
          <w:szCs w:val="28"/>
          <w:highlight w:val="none"/>
        </w:rPr>
        <w:t xml:space="preserve">1_Kazalo </w:t>
      </w:r>
    </w:p>
    <w:p w14:paraId="124BF5B0">
      <w:pPr>
        <w:rPr>
          <w:rFonts w:hint="default" w:ascii="Arial Narrow" w:hAnsi="Arial Narrow" w:cs="Arial Narrow"/>
          <w:color w:val="auto"/>
          <w:highlight w:val="none"/>
        </w:rPr>
      </w:pPr>
    </w:p>
    <w:p w14:paraId="6C039AE6">
      <w:pPr>
        <w:rPr>
          <w:rFonts w:hint="default" w:ascii="Arial Narrow" w:hAnsi="Arial Narrow" w:cs="Arial Narrow"/>
          <w:color w:val="auto"/>
          <w:highlight w:val="none"/>
        </w:rPr>
      </w:pPr>
    </w:p>
    <w:p w14:paraId="29CC2D6D">
      <w:pPr>
        <w:rPr>
          <w:rFonts w:hint="default" w:ascii="Arial Narrow" w:hAnsi="Arial Narrow" w:cs="Arial Narrow"/>
          <w:color w:val="auto"/>
          <w:highlight w:val="none"/>
        </w:rPr>
      </w:pPr>
    </w:p>
    <w:p w14:paraId="7819DF16">
      <w:pPr>
        <w:rPr>
          <w:rFonts w:hint="default" w:ascii="Arial Narrow" w:hAnsi="Arial Narrow" w:cs="Arial Narrow"/>
          <w:b/>
          <w:bCs/>
          <w:color w:val="auto"/>
          <w:highlight w:val="none"/>
        </w:rPr>
      </w:pPr>
      <w:r>
        <w:rPr>
          <w:rFonts w:hint="default" w:ascii="Arial Narrow" w:hAnsi="Arial Narrow" w:cs="Arial Narrow"/>
          <w:b/>
          <w:bCs/>
          <w:color w:val="auto"/>
          <w:highlight w:val="none"/>
        </w:rPr>
        <w:t xml:space="preserve">0_Naslovni listi </w:t>
      </w:r>
    </w:p>
    <w:p w14:paraId="4E2FA1B4">
      <w:pPr>
        <w:rPr>
          <w:rFonts w:hint="default" w:ascii="Arial Narrow" w:hAnsi="Arial Narrow" w:cs="Arial Narrow"/>
          <w:b/>
          <w:bCs/>
          <w:color w:val="auto"/>
          <w:highlight w:val="none"/>
        </w:rPr>
      </w:pPr>
      <w:r>
        <w:rPr>
          <w:rFonts w:hint="default" w:ascii="Arial Narrow" w:hAnsi="Arial Narrow" w:cs="Arial Narrow"/>
          <w:b/>
          <w:bCs/>
          <w:color w:val="auto"/>
          <w:highlight w:val="none"/>
        </w:rPr>
        <w:t xml:space="preserve">1_Kazalo </w:t>
      </w:r>
    </w:p>
    <w:p w14:paraId="349EF42D">
      <w:pPr>
        <w:rPr>
          <w:rFonts w:hint="default" w:ascii="Arial Narrow" w:hAnsi="Arial Narrow" w:cs="Arial Narrow"/>
          <w:b/>
          <w:bCs/>
          <w:color w:val="auto"/>
          <w:highlight w:val="none"/>
        </w:rPr>
      </w:pPr>
      <w:r>
        <w:rPr>
          <w:rFonts w:hint="default" w:ascii="Arial Narrow" w:hAnsi="Arial Narrow" w:cs="Arial Narrow"/>
          <w:b/>
          <w:bCs/>
          <w:color w:val="auto"/>
          <w:highlight w:val="none"/>
        </w:rPr>
        <w:t>2_Cilji natečaja</w:t>
      </w:r>
    </w:p>
    <w:p w14:paraId="45427FB6">
      <w:pPr>
        <w:rPr>
          <w:rFonts w:hint="default" w:ascii="Arial Narrow" w:hAnsi="Arial Narrow" w:cs="Arial Narrow"/>
          <w:b/>
          <w:bCs/>
          <w:color w:val="auto"/>
          <w:highlight w:val="none"/>
        </w:rPr>
      </w:pPr>
      <w:r>
        <w:rPr>
          <w:rFonts w:hint="default" w:ascii="Arial Narrow" w:hAnsi="Arial Narrow" w:cs="Arial Narrow"/>
          <w:b/>
          <w:bCs/>
          <w:color w:val="auto"/>
          <w:highlight w:val="none"/>
        </w:rPr>
        <w:t>3_Značilnosti natečajnega območja</w:t>
      </w:r>
    </w:p>
    <w:p w14:paraId="7E915584">
      <w:pPr>
        <w:rPr>
          <w:rFonts w:hint="default" w:ascii="Arial Narrow" w:hAnsi="Arial Narrow" w:cs="Arial Narrow"/>
          <w:b/>
          <w:bCs/>
          <w:color w:val="auto"/>
          <w:highlight w:val="none"/>
        </w:rPr>
      </w:pPr>
      <w:r>
        <w:rPr>
          <w:rFonts w:hint="default" w:ascii="Arial Narrow" w:hAnsi="Arial Narrow" w:cs="Arial Narrow"/>
          <w:b/>
          <w:bCs/>
          <w:color w:val="auto"/>
          <w:highlight w:val="none"/>
        </w:rPr>
        <w:t>4_Podatki o prostorskih aktih</w:t>
      </w:r>
      <w:r>
        <w:rPr>
          <w:rFonts w:hint="default" w:ascii="Arial Narrow" w:hAnsi="Arial Narrow" w:cs="Arial Narrow"/>
          <w:b/>
          <w:bCs/>
          <w:color w:val="auto"/>
          <w:highlight w:val="none"/>
          <w:lang w:val="sl-SI"/>
        </w:rPr>
        <w:t xml:space="preserve"> in</w:t>
      </w:r>
      <w:r>
        <w:rPr>
          <w:rFonts w:hint="default" w:ascii="Arial Narrow" w:hAnsi="Arial Narrow" w:cs="Arial Narrow"/>
          <w:b/>
          <w:bCs/>
          <w:color w:val="auto"/>
          <w:highlight w:val="none"/>
        </w:rPr>
        <w:t xml:space="preserve"> pogojih nosilcev urejanja prostora </w:t>
      </w:r>
    </w:p>
    <w:p w14:paraId="0E6918AF">
      <w:pPr>
        <w:rPr>
          <w:rFonts w:hint="default" w:ascii="Arial Narrow" w:hAnsi="Arial Narrow" w:cs="Arial Narrow"/>
          <w:b/>
          <w:bCs/>
          <w:color w:val="auto"/>
          <w:highlight w:val="none"/>
        </w:rPr>
      </w:pPr>
      <w:r>
        <w:rPr>
          <w:rFonts w:hint="default" w:ascii="Arial Narrow" w:hAnsi="Arial Narrow" w:cs="Arial Narrow"/>
          <w:b/>
          <w:bCs/>
          <w:color w:val="auto"/>
          <w:highlight w:val="none"/>
        </w:rPr>
        <w:t xml:space="preserve">5_Usmeritve za urbanistično, arhitekturno, krajinskoarhitekturno, programsko in drugo zasnovo </w:t>
      </w:r>
    </w:p>
    <w:p w14:paraId="1857A684">
      <w:pPr>
        <w:rPr>
          <w:rFonts w:hint="default" w:ascii="Arial Narrow" w:hAnsi="Arial Narrow" w:cs="Arial Narrow"/>
          <w:b/>
          <w:bCs/>
          <w:color w:val="auto"/>
          <w:highlight w:val="none"/>
        </w:rPr>
      </w:pPr>
      <w:r>
        <w:rPr>
          <w:rFonts w:hint="default" w:ascii="Arial Narrow" w:hAnsi="Arial Narrow" w:cs="Arial Narrow"/>
          <w:b/>
          <w:bCs/>
          <w:color w:val="auto"/>
          <w:highlight w:val="none"/>
        </w:rPr>
        <w:t>6_Etapnost</w:t>
      </w:r>
    </w:p>
    <w:p w14:paraId="6F0046B3">
      <w:pPr>
        <w:rPr>
          <w:rFonts w:hint="default" w:ascii="Arial Narrow" w:hAnsi="Arial Narrow" w:cs="Arial Narrow"/>
          <w:b/>
          <w:bCs/>
          <w:color w:val="auto"/>
          <w:highlight w:val="none"/>
        </w:rPr>
      </w:pPr>
      <w:r>
        <w:rPr>
          <w:rFonts w:hint="default" w:ascii="Arial Narrow" w:hAnsi="Arial Narrow" w:cs="Arial Narrow"/>
          <w:b/>
          <w:bCs/>
          <w:color w:val="auto"/>
          <w:highlight w:val="none"/>
        </w:rPr>
        <w:t>7_Vrednost investicije, vrednost GOI del</w:t>
      </w:r>
    </w:p>
    <w:p w14:paraId="61B1BD2D">
      <w:pPr>
        <w:rPr>
          <w:rFonts w:hint="default" w:ascii="Arial Narrow" w:hAnsi="Arial Narrow" w:cs="Arial Narrow"/>
          <w:b/>
          <w:bCs/>
          <w:color w:val="auto"/>
          <w:highlight w:val="none"/>
        </w:rPr>
      </w:pPr>
      <w:r>
        <w:rPr>
          <w:rFonts w:hint="default" w:ascii="Arial Narrow" w:hAnsi="Arial Narrow" w:cs="Arial Narrow"/>
          <w:b/>
          <w:bCs/>
          <w:color w:val="auto"/>
          <w:highlight w:val="none"/>
        </w:rPr>
        <w:t>8_Povzetek vseh obveznih zahtev, usmeritev, priporočil in eventualnih izločitvenih kriterijev</w:t>
      </w:r>
    </w:p>
    <w:p w14:paraId="5D36BB11">
      <w:pPr>
        <w:rPr>
          <w:rFonts w:hint="default" w:ascii="Arial Narrow" w:hAnsi="Arial Narrow" w:cs="Arial Narrow"/>
          <w:b/>
          <w:bCs/>
          <w:color w:val="auto"/>
          <w:highlight w:val="none"/>
        </w:rPr>
      </w:pPr>
      <w:r>
        <w:rPr>
          <w:rFonts w:hint="default" w:ascii="Arial Narrow" w:hAnsi="Arial Narrow" w:cs="Arial Narrow"/>
          <w:b/>
          <w:bCs/>
          <w:color w:val="auto"/>
          <w:highlight w:val="none"/>
        </w:rPr>
        <w:t>9_</w:t>
      </w:r>
      <w:r>
        <w:rPr>
          <w:rFonts w:hint="default" w:ascii="Arial Narrow" w:hAnsi="Arial Narrow" w:cs="Arial Narrow"/>
          <w:b/>
          <w:bCs/>
          <w:color w:val="auto"/>
          <w:highlight w:val="none"/>
          <w:lang w:val="sl-SI"/>
        </w:rPr>
        <w:t>Pridobljeni projektni pogoji mnenjedajalcev (priloga)</w:t>
      </w:r>
    </w:p>
    <w:p w14:paraId="6754AE8D">
      <w:pPr>
        <w:rPr>
          <w:rFonts w:hint="default" w:ascii="Arial Narrow" w:hAnsi="Arial Narrow" w:cs="Arial Narrow"/>
          <w:b/>
          <w:bCs/>
          <w:color w:val="auto"/>
          <w:highlight w:val="none"/>
        </w:rPr>
      </w:pPr>
      <w:r>
        <w:rPr>
          <w:rFonts w:hint="default" w:ascii="Arial Narrow" w:hAnsi="Arial Narrow" w:cs="Arial Narrow"/>
          <w:b/>
          <w:bCs/>
          <w:color w:val="auto"/>
          <w:highlight w:val="none"/>
        </w:rPr>
        <w:t>10_Povezave</w:t>
      </w:r>
    </w:p>
    <w:p w14:paraId="3E453184">
      <w:pPr>
        <w:rPr>
          <w:rFonts w:hint="default" w:ascii="Arial Narrow" w:hAnsi="Arial Narrow" w:cs="Arial Narrow"/>
          <w:b/>
          <w:bCs/>
          <w:color w:val="auto"/>
          <w:highlight w:val="none"/>
        </w:rPr>
      </w:pPr>
      <w:r>
        <w:rPr>
          <w:rFonts w:hint="default" w:ascii="Arial Narrow" w:hAnsi="Arial Narrow" w:cs="Arial Narrow"/>
          <w:b/>
          <w:bCs/>
          <w:color w:val="auto"/>
          <w:highlight w:val="none"/>
        </w:rPr>
        <w:t>11_Seznam C_natečajnih_podlog in D_natečajnih_prilog</w:t>
      </w:r>
    </w:p>
    <w:p w14:paraId="464CB24B">
      <w:pPr>
        <w:rPr>
          <w:rFonts w:hint="default" w:ascii="Arial Narrow" w:hAnsi="Arial Narrow" w:cs="Arial Narrow"/>
          <w:color w:val="auto"/>
          <w:highlight w:val="none"/>
        </w:rPr>
      </w:pPr>
    </w:p>
    <w:p w14:paraId="3C2C6365">
      <w:pPr>
        <w:rPr>
          <w:rFonts w:hint="default" w:ascii="Arial Narrow" w:hAnsi="Arial Narrow" w:cs="Arial Narrow"/>
          <w:color w:val="auto"/>
          <w:highlight w:val="none"/>
        </w:rPr>
      </w:pPr>
      <w:r>
        <w:rPr>
          <w:rFonts w:hint="default" w:ascii="Arial Narrow" w:hAnsi="Arial Narrow" w:cs="Arial Narrow"/>
          <w:color w:val="auto"/>
          <w:highlight w:val="none"/>
        </w:rPr>
        <w:t>.</w:t>
      </w:r>
    </w:p>
    <w:p w14:paraId="57CD2068">
      <w:pPr>
        <w:rPr>
          <w:rFonts w:hint="default" w:ascii="Arial Narrow" w:hAnsi="Arial Narrow" w:cs="Arial Narrow"/>
          <w:color w:val="auto"/>
          <w:highlight w:val="none"/>
        </w:rPr>
        <w:sectPr>
          <w:headerReference r:id="rId3" w:type="default"/>
          <w:footerReference r:id="rId4" w:type="default"/>
          <w:pgSz w:w="11900" w:h="16840"/>
          <w:pgMar w:top="1380" w:right="1200" w:bottom="920" w:left="1300" w:header="0" w:footer="738" w:gutter="0"/>
          <w:cols w:space="720" w:num="1"/>
        </w:sectPr>
      </w:pPr>
    </w:p>
    <w:p w14:paraId="3369338C">
      <w:pPr>
        <w:rPr>
          <w:rFonts w:hint="default" w:ascii="Arial Narrow" w:hAnsi="Arial Narrow" w:cs="Arial Narrow"/>
          <w:b/>
          <w:bCs/>
          <w:color w:val="auto"/>
          <w:sz w:val="28"/>
          <w:szCs w:val="28"/>
          <w:highlight w:val="none"/>
          <w:lang w:val="de-DE"/>
        </w:rPr>
      </w:pPr>
      <w:r>
        <w:rPr>
          <w:rFonts w:hint="default" w:ascii="Arial Narrow" w:hAnsi="Arial Narrow" w:cs="Arial Narrow"/>
          <w:b/>
          <w:bCs/>
          <w:color w:val="auto"/>
          <w:sz w:val="28"/>
          <w:szCs w:val="28"/>
          <w:highlight w:val="none"/>
          <w:lang w:val="de-DE"/>
        </w:rPr>
        <w:t>2_Cilji</w:t>
      </w:r>
      <w:r>
        <w:rPr>
          <w:rFonts w:hint="default" w:ascii="Arial Narrow" w:hAnsi="Arial Narrow" w:cs="Arial Narrow"/>
          <w:b/>
          <w:bCs/>
          <w:color w:val="auto"/>
          <w:sz w:val="28"/>
          <w:szCs w:val="28"/>
          <w:highlight w:val="none"/>
        </w:rPr>
        <w:t xml:space="preserve"> n</w:t>
      </w:r>
      <w:r>
        <w:rPr>
          <w:rFonts w:hint="default" w:ascii="Arial Narrow" w:hAnsi="Arial Narrow" w:cs="Arial Narrow"/>
          <w:b/>
          <w:bCs/>
          <w:color w:val="auto"/>
          <w:sz w:val="28"/>
          <w:szCs w:val="28"/>
          <w:highlight w:val="none"/>
          <w:lang w:val="de-DE"/>
        </w:rPr>
        <w:t>atečaja</w:t>
      </w:r>
    </w:p>
    <w:p w14:paraId="37BBC576">
      <w:pPr>
        <w:rPr>
          <w:rFonts w:hint="default" w:ascii="Arial Narrow" w:hAnsi="Arial Narrow" w:cs="Arial Narrow"/>
          <w:color w:val="auto"/>
          <w:highlight w:val="none"/>
          <w:lang w:val="de-DE"/>
        </w:rPr>
      </w:pPr>
    </w:p>
    <w:p w14:paraId="2500AB0C">
      <w:pPr>
        <w:ind w:left="-3" w:firstLine="3"/>
        <w:rPr>
          <w:rFonts w:hint="default" w:ascii="Arial Narrow" w:hAnsi="Arial Narrow" w:cs="Arial Narrow"/>
          <w:b/>
          <w:bCs/>
          <w:color w:val="auto"/>
          <w:sz w:val="22"/>
          <w:szCs w:val="22"/>
          <w:highlight w:val="none"/>
          <w:lang w:val="de-DE"/>
        </w:rPr>
      </w:pPr>
      <w:r>
        <w:rPr>
          <w:rFonts w:hint="default" w:ascii="Arial Narrow" w:hAnsi="Arial Narrow" w:cs="Arial Narrow"/>
          <w:b/>
          <w:bCs/>
          <w:color w:val="auto"/>
          <w:sz w:val="22"/>
          <w:szCs w:val="22"/>
          <w:highlight w:val="none"/>
          <w:lang w:val="de-DE"/>
        </w:rPr>
        <w:t xml:space="preserve">Namen, cilji in pričakovanja </w:t>
      </w:r>
      <w:r>
        <w:rPr>
          <w:rFonts w:hint="default" w:ascii="Arial Narrow" w:hAnsi="Arial Narrow" w:cs="Arial Narrow"/>
          <w:b/>
          <w:bCs/>
          <w:color w:val="auto"/>
          <w:sz w:val="22"/>
          <w:szCs w:val="22"/>
          <w:highlight w:val="none"/>
          <w:lang w:val="sl-SI"/>
        </w:rPr>
        <w:t xml:space="preserve">arhitekturnega </w:t>
      </w:r>
      <w:r>
        <w:rPr>
          <w:rFonts w:hint="default" w:ascii="Arial Narrow" w:hAnsi="Arial Narrow" w:cs="Arial Narrow"/>
          <w:b/>
          <w:bCs/>
          <w:color w:val="auto"/>
          <w:sz w:val="22"/>
          <w:szCs w:val="22"/>
          <w:highlight w:val="none"/>
          <w:lang w:val="de-DE"/>
        </w:rPr>
        <w:t>natečaja</w:t>
      </w:r>
    </w:p>
    <w:p w14:paraId="37AAFA61">
      <w:pPr>
        <w:ind w:left="-3" w:firstLine="3"/>
        <w:rPr>
          <w:rFonts w:hint="default" w:ascii="Arial Narrow" w:hAnsi="Arial Narrow" w:cs="Arial Narrow"/>
          <w:color w:val="auto"/>
          <w:sz w:val="22"/>
          <w:szCs w:val="22"/>
          <w:highlight w:val="none"/>
          <w:lang w:val="de-DE"/>
        </w:rPr>
      </w:pPr>
    </w:p>
    <w:p w14:paraId="4556F60D">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eastAsia="Times New Roman" w:cs="Arial Narrow"/>
          <w:i w:val="0"/>
          <w:iCs w:val="0"/>
          <w:caps w:val="0"/>
          <w:color w:val="222222"/>
          <w:spacing w:val="0"/>
          <w:kern w:val="0"/>
          <w:sz w:val="22"/>
          <w:szCs w:val="22"/>
          <w:shd w:val="clear" w:fill="FFFFFF"/>
          <w:lang w:val="en-US" w:eastAsia="zh-CN" w:bidi="ar"/>
        </w:rPr>
      </w:pPr>
      <w:r>
        <w:rPr>
          <w:rFonts w:hint="default" w:ascii="Arial Narrow" w:hAnsi="Arial Narrow" w:eastAsia="Times New Roman" w:cs="Arial Narrow"/>
          <w:i w:val="0"/>
          <w:iCs w:val="0"/>
          <w:caps w:val="0"/>
          <w:color w:val="222222"/>
          <w:spacing w:val="0"/>
          <w:kern w:val="0"/>
          <w:sz w:val="22"/>
          <w:szCs w:val="22"/>
          <w:shd w:val="clear" w:fill="FFFFFF"/>
          <w:lang w:val="en-US" w:eastAsia="zh-CN" w:bidi="ar"/>
        </w:rPr>
        <w:t xml:space="preserve">Namen natečaja je pridobiti </w:t>
      </w:r>
      <w:r>
        <w:rPr>
          <w:rFonts w:hint="default" w:ascii="Arial Narrow" w:hAnsi="Arial Narrow" w:cs="Arial Narrow"/>
          <w:i w:val="0"/>
          <w:iCs w:val="0"/>
          <w:caps w:val="0"/>
          <w:color w:val="222222"/>
          <w:spacing w:val="0"/>
          <w:kern w:val="0"/>
          <w:sz w:val="22"/>
          <w:szCs w:val="22"/>
          <w:shd w:val="clear" w:fill="FFFFFF"/>
          <w:lang w:val="sl-SI" w:eastAsia="zh-CN" w:bidi="ar"/>
        </w:rPr>
        <w:t xml:space="preserve">strokovno in arhitekturno </w:t>
      </w:r>
      <w:r>
        <w:rPr>
          <w:rFonts w:hint="default" w:ascii="Arial Narrow" w:hAnsi="Arial Narrow" w:eastAsia="Times New Roman" w:cs="Arial Narrow"/>
          <w:i w:val="0"/>
          <w:iCs w:val="0"/>
          <w:caps w:val="0"/>
          <w:color w:val="222222"/>
          <w:spacing w:val="0"/>
          <w:kern w:val="0"/>
          <w:sz w:val="22"/>
          <w:szCs w:val="22"/>
          <w:shd w:val="clear" w:fill="FFFFFF"/>
          <w:lang w:val="en-US" w:eastAsia="zh-CN" w:bidi="ar"/>
        </w:rPr>
        <w:t>najustreznejšo idejno zasnovo za gradnjo objekta</w:t>
      </w:r>
      <w:r>
        <w:rPr>
          <w:rFonts w:hint="default" w:ascii="Arial Narrow" w:hAnsi="Arial Narrow" w:cs="Arial Narrow"/>
          <w:i w:val="0"/>
          <w:iCs w:val="0"/>
          <w:caps w:val="0"/>
          <w:color w:val="222222"/>
          <w:spacing w:val="0"/>
          <w:kern w:val="0"/>
          <w:sz w:val="22"/>
          <w:szCs w:val="22"/>
          <w:shd w:val="clear" w:fill="FFFFFF"/>
          <w:lang w:val="sl-SI" w:eastAsia="zh-CN" w:bidi="ar"/>
        </w:rPr>
        <w:t xml:space="preserve"> osnovne šole Velika Nedelja v naselju Velika Nedelja v občini Ormož. S tem natečajem je s predhodno izdelanimi dokumenti in veljavnimi predpisi s področja gradnje šolskih objektov določena kapaciteta, velikost in lokacija objekta. </w:t>
      </w:r>
    </w:p>
    <w:p w14:paraId="56EB3FD0">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eastAsia="Times New Roman" w:cs="Arial Narrow"/>
          <w:i w:val="0"/>
          <w:iCs w:val="0"/>
          <w:caps w:val="0"/>
          <w:color w:val="222222"/>
          <w:spacing w:val="0"/>
          <w:kern w:val="0"/>
          <w:sz w:val="22"/>
          <w:szCs w:val="22"/>
          <w:shd w:val="clear" w:fill="FFFFFF"/>
          <w:lang w:val="en-US" w:eastAsia="zh-CN" w:bidi="ar"/>
        </w:rPr>
      </w:pPr>
    </w:p>
    <w:p w14:paraId="1C06BD57">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 xml:space="preserve">Nosilec in naročnik izdelave natečajne naloge in arhitekturnega natečaja je Občina Ormož. </w:t>
      </w:r>
    </w:p>
    <w:p w14:paraId="2FAE546C">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p>
    <w:p w14:paraId="5E80D123">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 xml:space="preserve">Natečaj je zamišljen kot javni arhitekturni anonimni enostopenjski projektni natečaj za izbiro najustreznejše rešitve in pridobitev idejne zasnove za pozidavo objekta osnovne šole, ki naj bo funkcionalno povezana z obstoječim objektom športne dvorane v Veliki Nedelji.   </w:t>
      </w:r>
    </w:p>
    <w:p w14:paraId="0A844D7D">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p>
    <w:p w14:paraId="4F5D8B38">
      <w:pPr>
        <w:ind w:left="-3" w:firstLine="3"/>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eastAsia="Times New Roman" w:cs="Arial Narrow"/>
          <w:i w:val="0"/>
          <w:iCs w:val="0"/>
          <w:caps w:val="0"/>
          <w:color w:val="222222"/>
          <w:spacing w:val="0"/>
          <w:kern w:val="0"/>
          <w:sz w:val="22"/>
          <w:szCs w:val="22"/>
          <w:shd w:val="clear" w:fill="FFFFFF"/>
          <w:lang w:val="en-US" w:eastAsia="zh-CN" w:bidi="ar"/>
        </w:rPr>
        <w:t xml:space="preserve">Lokacija načrtovane gradnje in umestitev v prostor sta </w:t>
      </w:r>
      <w:r>
        <w:rPr>
          <w:rFonts w:hint="default" w:ascii="Arial Narrow" w:hAnsi="Arial Narrow" w:cs="Arial Narrow"/>
          <w:i w:val="0"/>
          <w:iCs w:val="0"/>
          <w:caps w:val="0"/>
          <w:color w:val="222222"/>
          <w:spacing w:val="0"/>
          <w:kern w:val="0"/>
          <w:sz w:val="22"/>
          <w:szCs w:val="22"/>
          <w:shd w:val="clear" w:fill="FFFFFF"/>
          <w:lang w:val="sl-SI" w:eastAsia="zh-CN" w:bidi="ar"/>
        </w:rPr>
        <w:t xml:space="preserve">primerni in </w:t>
      </w:r>
      <w:r>
        <w:rPr>
          <w:rFonts w:hint="default" w:ascii="Arial Narrow" w:hAnsi="Arial Narrow" w:eastAsia="Times New Roman" w:cs="Arial Narrow"/>
          <w:i w:val="0"/>
          <w:iCs w:val="0"/>
          <w:caps w:val="0"/>
          <w:color w:val="222222"/>
          <w:spacing w:val="0"/>
          <w:kern w:val="0"/>
          <w:sz w:val="22"/>
          <w:szCs w:val="22"/>
          <w:shd w:val="clear" w:fill="FFFFFF"/>
          <w:lang w:val="en-US" w:eastAsia="zh-CN" w:bidi="ar"/>
        </w:rPr>
        <w:t xml:space="preserve">ekskluzivni: </w:t>
      </w:r>
      <w:r>
        <w:rPr>
          <w:rFonts w:hint="default" w:ascii="Arial Narrow" w:hAnsi="Arial Narrow" w:cs="Arial Narrow"/>
          <w:i w:val="0"/>
          <w:iCs w:val="0"/>
          <w:caps w:val="0"/>
          <w:color w:val="222222"/>
          <w:spacing w:val="0"/>
          <w:kern w:val="0"/>
          <w:sz w:val="22"/>
          <w:szCs w:val="22"/>
          <w:shd w:val="clear" w:fill="FFFFFF"/>
          <w:lang w:val="sl-SI" w:eastAsia="zh-CN" w:bidi="ar"/>
        </w:rPr>
        <w:t xml:space="preserve">na robu historičnega krajevnega jedra se nahaja objekt športne dvorane, nedaleč od središča naselja Velika Nedelja s svojimi historičnimi dominantami. Na južni strani naselja je ohranjen prostor za pozidavo, danes se tam nahajajo športna igrišča.  </w:t>
      </w:r>
    </w:p>
    <w:p w14:paraId="50E1E452">
      <w:pPr>
        <w:ind w:left="-3" w:firstLine="3"/>
        <w:rPr>
          <w:rFonts w:hint="default" w:ascii="Arial Narrow" w:hAnsi="Arial Narrow" w:cs="Arial Narrow"/>
          <w:i w:val="0"/>
          <w:iCs w:val="0"/>
          <w:caps w:val="0"/>
          <w:color w:val="222222"/>
          <w:spacing w:val="0"/>
          <w:kern w:val="0"/>
          <w:sz w:val="22"/>
          <w:szCs w:val="22"/>
          <w:shd w:val="clear" w:fill="FFFFFF"/>
          <w:lang w:val="sl-SI" w:eastAsia="zh-CN" w:bidi="ar"/>
        </w:rPr>
      </w:pPr>
    </w:p>
    <w:p w14:paraId="2F46578E">
      <w:pPr>
        <w:ind w:left="-3" w:firstLine="3"/>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 xml:space="preserve">Objekt naj stoji v prostoru na južni strani središča naselja, umeščen naj bo med objekte športne dvorane, večnamenski objekt “Zadružni dom” s Poštno enoto na zahodu, lokalno cesto na severni strani in športno igrišče ter objekt otroškega vrtca na vzhodni strani. </w:t>
      </w:r>
    </w:p>
    <w:p w14:paraId="07B1F60B">
      <w:pPr>
        <w:ind w:left="-3" w:firstLine="3"/>
        <w:rPr>
          <w:rFonts w:hint="default" w:ascii="Arial Narrow" w:hAnsi="Arial Narrow" w:cs="Arial Narrow"/>
          <w:i w:val="0"/>
          <w:iCs w:val="0"/>
          <w:caps w:val="0"/>
          <w:color w:val="222222"/>
          <w:spacing w:val="0"/>
          <w:kern w:val="0"/>
          <w:sz w:val="22"/>
          <w:szCs w:val="22"/>
          <w:shd w:val="clear" w:fill="FFFFFF"/>
          <w:lang w:val="sl-SI" w:eastAsia="zh-CN" w:bidi="ar"/>
        </w:rPr>
      </w:pPr>
    </w:p>
    <w:p w14:paraId="72330423">
      <w:pPr>
        <w:ind w:left="-3" w:firstLine="3"/>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Parcele, ki tvorijo obravnavano območje natečaja, so naslednje: 1223 (del), 1225, 1226, 1227, 1228, vse k.o. 331 Velika Nedelja, in so skupaj velike okrog 5655 m2. Obstoječa igrišča se nadomesti na parceli atletske steze, na parceli št. 1212.</w:t>
      </w:r>
    </w:p>
    <w:p w14:paraId="568B1019">
      <w:pPr>
        <w:ind w:left="-3" w:firstLine="3"/>
        <w:rPr>
          <w:rFonts w:hint="default" w:ascii="Arial Narrow" w:hAnsi="Arial Narrow" w:cs="Arial Narrow"/>
          <w:i w:val="0"/>
          <w:iCs w:val="0"/>
          <w:caps w:val="0"/>
          <w:color w:val="222222"/>
          <w:spacing w:val="0"/>
          <w:kern w:val="0"/>
          <w:sz w:val="22"/>
          <w:szCs w:val="22"/>
          <w:shd w:val="clear" w:fill="FFFFFF"/>
          <w:lang w:val="sl-SI" w:eastAsia="zh-CN" w:bidi="ar"/>
        </w:rPr>
      </w:pPr>
    </w:p>
    <w:p w14:paraId="3F5BC296">
      <w:pPr>
        <w:ind w:left="-3" w:firstLine="3"/>
        <w:rPr>
          <w:rFonts w:hint="default" w:ascii="Arial Narrow" w:hAnsi="Arial Narrow" w:cs="Arial Narrow"/>
          <w:i w:val="0"/>
          <w:iCs w:val="0"/>
          <w:caps w:val="0"/>
          <w:color w:val="222222"/>
          <w:spacing w:val="0"/>
          <w:kern w:val="0"/>
          <w:sz w:val="22"/>
          <w:szCs w:val="22"/>
          <w:shd w:val="clear" w:fill="FFFFFF"/>
          <w:lang w:val="sl-SI" w:eastAsia="zh-CN" w:bidi="ar"/>
        </w:rPr>
      </w:pPr>
      <w:r>
        <w:rPr>
          <w:lang w:eastAsia="sl-SI"/>
        </w:rPr>
        <w:drawing>
          <wp:inline distT="0" distB="0" distL="0" distR="0">
            <wp:extent cx="5760720" cy="3858895"/>
            <wp:effectExtent l="0" t="0" r="11430" b="8255"/>
            <wp:docPr id="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1"/>
                    <pic:cNvPicPr>
                      <a:picLocks noChangeAspect="1"/>
                    </pic:cNvPicPr>
                  </pic:nvPicPr>
                  <pic:blipFill>
                    <a:blip r:embed="rId9"/>
                    <a:stretch>
                      <a:fillRect/>
                    </a:stretch>
                  </pic:blipFill>
                  <pic:spPr>
                    <a:xfrm>
                      <a:off x="0" y="0"/>
                      <a:ext cx="5760720" cy="3858895"/>
                    </a:xfrm>
                    <a:prstGeom prst="rect">
                      <a:avLst/>
                    </a:prstGeom>
                  </pic:spPr>
                </pic:pic>
              </a:graphicData>
            </a:graphic>
          </wp:inline>
        </w:drawing>
      </w:r>
    </w:p>
    <w:p w14:paraId="1D145734">
      <w:pPr>
        <w:ind w:left="-3" w:firstLine="3"/>
        <w:jc w:val="both"/>
        <w:rPr>
          <w:rFonts w:hint="default" w:ascii="Arial Narrow" w:hAnsi="Arial Narrow" w:cs="Arial Narrow"/>
          <w:i/>
          <w:iCs/>
          <w:color w:val="auto"/>
          <w:sz w:val="18"/>
          <w:szCs w:val="18"/>
          <w:highlight w:val="none"/>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1</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Ortofoto in DKN širšega obravnavanega območja, (GURS, eProstor)</w:t>
      </w:r>
    </w:p>
    <w:p w14:paraId="4860FC6D">
      <w:pPr>
        <w:ind w:left="-3" w:firstLine="3"/>
        <w:rPr>
          <w:rFonts w:hint="default" w:ascii="Arial Narrow" w:hAnsi="Arial Narrow" w:cs="Arial Narrow"/>
          <w:color w:val="auto"/>
          <w:sz w:val="22"/>
          <w:szCs w:val="22"/>
          <w:highlight w:val="none"/>
          <w:lang w:val="de-DE"/>
        </w:rPr>
      </w:pPr>
    </w:p>
    <w:p w14:paraId="587567F1">
      <w:pPr>
        <w:ind w:left="-3" w:firstLine="3"/>
        <w:rPr>
          <w:rFonts w:hint="default" w:ascii="Arial Narrow" w:hAnsi="Arial Narrow" w:cs="Arial Narrow"/>
          <w:color w:val="auto"/>
          <w:sz w:val="22"/>
          <w:szCs w:val="22"/>
          <w:highlight w:val="none"/>
          <w:lang w:val="de-DE"/>
        </w:rPr>
      </w:pPr>
      <w:r>
        <w:rPr>
          <w:rFonts w:hint="default" w:ascii="Arial Narrow" w:hAnsi="Arial Narrow" w:cs="Arial Narrow"/>
          <w:color w:val="auto"/>
          <w:sz w:val="22"/>
          <w:szCs w:val="22"/>
          <w:highlight w:val="none"/>
          <w:lang w:val="de-DE"/>
        </w:rPr>
        <w:t xml:space="preserve">Cilj </w:t>
      </w:r>
      <w:r>
        <w:rPr>
          <w:rFonts w:hint="default" w:ascii="Arial Narrow" w:hAnsi="Arial Narrow" w:cs="Arial Narrow"/>
          <w:color w:val="auto"/>
          <w:sz w:val="22"/>
          <w:szCs w:val="22"/>
          <w:highlight w:val="none"/>
        </w:rPr>
        <w:t>projektnega dela natečaja je pridobiti</w:t>
      </w:r>
      <w:r>
        <w:rPr>
          <w:rFonts w:hint="default" w:ascii="Arial Narrow" w:hAnsi="Arial Narrow" w:cs="Arial Narrow"/>
          <w:color w:val="auto"/>
          <w:sz w:val="22"/>
          <w:szCs w:val="22"/>
          <w:highlight w:val="none"/>
          <w:lang w:val="de-DE"/>
        </w:rPr>
        <w:t xml:space="preserve"> najprimernejšo strokovno rešitev in izbrati iz</w:t>
      </w:r>
      <w:r>
        <w:rPr>
          <w:rFonts w:hint="default" w:ascii="Arial Narrow" w:hAnsi="Arial Narrow" w:cs="Arial Narrow"/>
          <w:color w:val="auto"/>
          <w:sz w:val="22"/>
          <w:szCs w:val="22"/>
          <w:highlight w:val="none"/>
        </w:rPr>
        <w:t>d</w:t>
      </w:r>
      <w:r>
        <w:rPr>
          <w:rFonts w:hint="default" w:ascii="Arial Narrow" w:hAnsi="Arial Narrow" w:cs="Arial Narrow"/>
          <w:color w:val="auto"/>
          <w:sz w:val="22"/>
          <w:szCs w:val="22"/>
          <w:highlight w:val="none"/>
          <w:lang w:val="de-DE"/>
        </w:rPr>
        <w:t>elovalca projektne dokum</w:t>
      </w:r>
      <w:r>
        <w:rPr>
          <w:rFonts w:hint="default" w:ascii="Arial Narrow" w:hAnsi="Arial Narrow" w:cs="Arial Narrow"/>
          <w:color w:val="auto"/>
          <w:sz w:val="22"/>
          <w:szCs w:val="22"/>
          <w:highlight w:val="none"/>
        </w:rPr>
        <w:t>e</w:t>
      </w:r>
      <w:r>
        <w:rPr>
          <w:rFonts w:hint="default" w:ascii="Arial Narrow" w:hAnsi="Arial Narrow" w:cs="Arial Narrow"/>
          <w:color w:val="auto"/>
          <w:sz w:val="22"/>
          <w:szCs w:val="22"/>
          <w:highlight w:val="none"/>
          <w:lang w:val="de-DE"/>
        </w:rPr>
        <w:t>ntacije za izvedbo</w:t>
      </w:r>
      <w:r>
        <w:rPr>
          <w:rFonts w:hint="default" w:ascii="Arial Narrow" w:hAnsi="Arial Narrow" w:cs="Arial Narrow"/>
          <w:color w:val="auto"/>
          <w:sz w:val="22"/>
          <w:szCs w:val="22"/>
          <w:highlight w:val="none"/>
          <w:lang w:val="sl-SI"/>
        </w:rPr>
        <w:t xml:space="preserve"> šolskega objekta. </w:t>
      </w:r>
    </w:p>
    <w:p w14:paraId="47E02A5F">
      <w:pPr>
        <w:ind w:left="-3" w:firstLine="3"/>
        <w:rPr>
          <w:rFonts w:hint="default" w:ascii="Arial Narrow" w:hAnsi="Arial Narrow" w:cs="Arial Narrow"/>
          <w:color w:val="auto"/>
          <w:sz w:val="22"/>
          <w:szCs w:val="22"/>
          <w:highlight w:val="none"/>
        </w:rPr>
      </w:pPr>
      <w:r>
        <w:rPr>
          <w:rFonts w:hint="default" w:ascii="Arial Narrow" w:hAnsi="Arial Narrow" w:cs="Arial Narrow"/>
          <w:color w:val="auto"/>
          <w:sz w:val="28"/>
          <w:szCs w:val="28"/>
          <w:highlight w:val="none"/>
        </w:rPr>
        <w:br w:type="page"/>
      </w:r>
    </w:p>
    <w:p w14:paraId="25271B05">
      <w:pPr>
        <w:rPr>
          <w:rFonts w:hint="default" w:ascii="Arial Narrow" w:hAnsi="Arial Narrow" w:cs="Arial Narrow"/>
          <w:b/>
          <w:bCs/>
          <w:color w:val="auto"/>
          <w:highlight w:val="none"/>
          <w:lang w:val="sl-SI"/>
        </w:rPr>
      </w:pPr>
      <w:r>
        <w:rPr>
          <w:rFonts w:hint="default" w:ascii="Arial Narrow" w:hAnsi="Arial Narrow" w:cs="Arial Narrow"/>
          <w:b/>
          <w:color w:val="auto"/>
          <w:highlight w:val="none"/>
        </w:rPr>
        <w:t>3_</w:t>
      </w:r>
      <w:r>
        <w:rPr>
          <w:rFonts w:hint="default" w:ascii="Arial Narrow" w:hAnsi="Arial Narrow" w:cs="Arial Narrow"/>
          <w:color w:val="auto"/>
          <w:highlight w:val="none"/>
        </w:rPr>
        <w:t xml:space="preserve"> </w:t>
      </w:r>
      <w:r>
        <w:rPr>
          <w:rFonts w:hint="default" w:ascii="Arial Narrow" w:hAnsi="Arial Narrow" w:cs="Arial Narrow"/>
          <w:b/>
          <w:bCs/>
          <w:color w:val="auto"/>
          <w:highlight w:val="none"/>
          <w:lang w:val="sl-SI"/>
        </w:rPr>
        <w:t>ZNAČILNOSTI NATEČAJNEGA OBMOČJA</w:t>
      </w:r>
    </w:p>
    <w:p w14:paraId="126C9BE5">
      <w:pPr>
        <w:rPr>
          <w:rFonts w:hint="default" w:ascii="Arial Narrow" w:hAnsi="Arial Narrow" w:cs="Arial Narrow"/>
          <w:b/>
          <w:bCs/>
          <w:color w:val="auto"/>
          <w:sz w:val="22"/>
          <w:szCs w:val="22"/>
          <w:highlight w:val="none"/>
          <w:lang w:val="sl-SI"/>
        </w:rPr>
      </w:pPr>
    </w:p>
    <w:p w14:paraId="200D1996">
      <w:pPr>
        <w:rPr>
          <w:rFonts w:hint="default" w:ascii="Arial Narrow" w:hAnsi="Arial Narrow" w:cs="Arial Narrow"/>
          <w:b w:val="0"/>
          <w:bCs/>
          <w:color w:val="auto"/>
          <w:highlight w:val="none"/>
        </w:rPr>
      </w:pPr>
      <w:r>
        <w:rPr>
          <w:rFonts w:hint="default" w:ascii="Arial Narrow" w:hAnsi="Arial Narrow" w:cs="Arial Narrow"/>
          <w:b w:val="0"/>
          <w:bCs/>
          <w:color w:val="auto"/>
          <w:sz w:val="22"/>
          <w:szCs w:val="22"/>
          <w:highlight w:val="none"/>
          <w:lang w:val="sl-SI"/>
        </w:rPr>
        <w:t xml:space="preserve">PROSTORSKI </w:t>
      </w:r>
      <w:r>
        <w:rPr>
          <w:rFonts w:hint="default" w:ascii="Arial Narrow" w:hAnsi="Arial Narrow" w:cs="Arial Narrow"/>
          <w:b w:val="0"/>
          <w:bCs/>
          <w:color w:val="auto"/>
          <w:sz w:val="22"/>
          <w:szCs w:val="22"/>
          <w:highlight w:val="none"/>
        </w:rPr>
        <w:t xml:space="preserve">POMEN NATEČAJNEGA OBMOČJA </w:t>
      </w:r>
      <w:r>
        <w:rPr>
          <w:rFonts w:hint="default" w:ascii="Arial Narrow" w:hAnsi="Arial Narrow" w:cs="Arial Narrow"/>
          <w:b w:val="0"/>
          <w:bCs/>
          <w:color w:val="auto"/>
          <w:sz w:val="22"/>
          <w:szCs w:val="22"/>
          <w:highlight w:val="none"/>
          <w:lang w:val="sl-SI"/>
        </w:rPr>
        <w:t>V URBANEM TKIVU</w:t>
      </w:r>
    </w:p>
    <w:p w14:paraId="289047A5">
      <w:pPr>
        <w:pStyle w:val="17"/>
        <w:spacing w:line="276" w:lineRule="auto"/>
        <w:rPr>
          <w:rFonts w:hint="default" w:ascii="Arial Narrow" w:hAnsi="Arial Narrow" w:cs="Arial Narrow"/>
          <w:color w:val="auto"/>
          <w:highlight w:val="none"/>
        </w:rPr>
      </w:pPr>
    </w:p>
    <w:p w14:paraId="55C89CC7">
      <w:pPr>
        <w:rPr>
          <w:rFonts w:hint="default" w:ascii="Arial Narrow" w:hAnsi="Arial Narrow" w:cs="Arial Narrow"/>
          <w:color w:val="auto"/>
          <w:sz w:val="22"/>
          <w:szCs w:val="22"/>
          <w:highlight w:val="none"/>
          <w:lang w:val="sl-SI"/>
        </w:rPr>
      </w:pPr>
      <w:r>
        <w:drawing>
          <wp:inline distT="0" distB="0" distL="114300" distR="114300">
            <wp:extent cx="5944235" cy="1386840"/>
            <wp:effectExtent l="0" t="0" r="18415" b="381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
                    <pic:cNvPicPr>
                      <a:picLocks noChangeAspect="1"/>
                    </pic:cNvPicPr>
                  </pic:nvPicPr>
                  <pic:blipFill>
                    <a:blip r:embed="rId10"/>
                    <a:stretch>
                      <a:fillRect/>
                    </a:stretch>
                  </pic:blipFill>
                  <pic:spPr>
                    <a:xfrm>
                      <a:off x="0" y="0"/>
                      <a:ext cx="5944235" cy="1386840"/>
                    </a:xfrm>
                    <a:prstGeom prst="rect">
                      <a:avLst/>
                    </a:prstGeom>
                    <a:noFill/>
                    <a:ln>
                      <a:noFill/>
                    </a:ln>
                  </pic:spPr>
                </pic:pic>
              </a:graphicData>
            </a:graphic>
          </wp:inline>
        </w:drawing>
      </w:r>
    </w:p>
    <w:p w14:paraId="3BA7E3C9">
      <w:pPr>
        <w:ind w:left="-3" w:firstLine="3"/>
        <w:jc w:val="both"/>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2</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Pogled na širši kompleks šole, vrtca in športnih površin z vzhodne strani (GoogleMaps, dec. 2023)</w:t>
      </w:r>
    </w:p>
    <w:p w14:paraId="3276D832">
      <w:pPr>
        <w:ind w:left="-3" w:firstLine="3"/>
        <w:jc w:val="both"/>
        <w:rPr>
          <w:rFonts w:hint="default" w:ascii="Arial Narrow" w:hAnsi="Arial Narrow" w:cs="Arial Narrow"/>
          <w:i/>
          <w:iCs/>
          <w:color w:val="auto"/>
          <w:sz w:val="18"/>
          <w:szCs w:val="18"/>
          <w:highlight w:val="none"/>
          <w:lang w:val="sl-SI"/>
        </w:rPr>
      </w:pPr>
    </w:p>
    <w:p w14:paraId="0B09AE2C">
      <w:pPr>
        <w:rPr>
          <w:rFonts w:hint="default" w:ascii="Arial Narrow" w:hAnsi="Arial Narrow" w:cs="Arial Narrow"/>
          <w:color w:val="auto"/>
          <w:sz w:val="22"/>
          <w:szCs w:val="22"/>
          <w:highlight w:val="none"/>
          <w:lang w:val="sl-SI"/>
        </w:rPr>
      </w:pPr>
      <w:r>
        <w:rPr>
          <w:rFonts w:hint="default" w:ascii="Arial Narrow" w:hAnsi="Arial Narrow" w:cs="Arial Narrow"/>
          <w:color w:val="auto"/>
          <w:sz w:val="22"/>
          <w:szCs w:val="22"/>
          <w:highlight w:val="none"/>
          <w:lang w:val="sl-SI"/>
        </w:rPr>
        <w:t xml:space="preserve">V skladu z urbanističnim razvojem kraja je območje obdelave urejeno, oblikovno določeno in po namembnosti opredeljeno. Razmeroma redka priložnost gradnje v izoblikovanem okolju med objekti obstoječe javne in družbene infrastrukture je v primeru gradnje šolskega objekta upravičena in s stališča urbanega razvoja nesporna. </w:t>
      </w:r>
    </w:p>
    <w:p w14:paraId="2235E801">
      <w:pPr>
        <w:rPr>
          <w:rFonts w:hint="default" w:ascii="Arial Narrow" w:hAnsi="Arial Narrow" w:cs="Arial Narrow"/>
          <w:color w:val="auto"/>
          <w:sz w:val="22"/>
          <w:szCs w:val="22"/>
          <w:highlight w:val="none"/>
          <w:lang w:val="sl-SI"/>
        </w:rPr>
      </w:pPr>
      <w:r>
        <w:rPr>
          <w:rFonts w:hint="default" w:ascii="Arial Narrow" w:hAnsi="Arial Narrow" w:cs="Arial Narrow"/>
          <w:color w:val="auto"/>
          <w:sz w:val="22"/>
          <w:szCs w:val="22"/>
          <w:highlight w:val="none"/>
          <w:lang w:val="sl-SI"/>
        </w:rPr>
        <w:t>Postavitev ustrezne arhitekture v izoblikovano prostorsko situacijo je imperativ, ki ga pričujoči natečaj zasleduje. Od natečajnikov se pričakuje jasno izoblikovanje prostorskega koncepta v obravnavanem območju in ustrezno izoblikovanje južnega roba središča naselja s predlogom pozidave šolskega objekta.</w:t>
      </w:r>
    </w:p>
    <w:p w14:paraId="78FC671F">
      <w:pPr>
        <w:rPr>
          <w:rFonts w:hint="default" w:ascii="Arial Narrow" w:hAnsi="Arial Narrow" w:cs="Arial Narrow"/>
          <w:color w:val="auto"/>
          <w:sz w:val="22"/>
          <w:szCs w:val="22"/>
          <w:highlight w:val="none"/>
          <w:lang w:val="sl-SI"/>
        </w:rPr>
      </w:pPr>
    </w:p>
    <w:p w14:paraId="626E06DF">
      <w:pPr>
        <w:rPr>
          <w:rFonts w:hint="default" w:ascii="Arial Narrow" w:hAnsi="Arial Narrow" w:cs="Arial Narrow"/>
          <w:color w:val="auto"/>
          <w:sz w:val="22"/>
          <w:szCs w:val="22"/>
          <w:highlight w:val="none"/>
          <w:lang w:val="sl-SI"/>
        </w:rPr>
      </w:pPr>
      <w:r>
        <w:drawing>
          <wp:inline distT="0" distB="0" distL="114300" distR="114300">
            <wp:extent cx="5965825" cy="4918710"/>
            <wp:effectExtent l="0" t="0" r="15875" b="15240"/>
            <wp:docPr id="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 1"/>
                    <pic:cNvPicPr>
                      <a:picLocks noChangeAspect="1"/>
                    </pic:cNvPicPr>
                  </pic:nvPicPr>
                  <pic:blipFill>
                    <a:blip r:embed="rId11"/>
                    <a:stretch>
                      <a:fillRect/>
                    </a:stretch>
                  </pic:blipFill>
                  <pic:spPr>
                    <a:xfrm>
                      <a:off x="0" y="0"/>
                      <a:ext cx="5965825" cy="4918710"/>
                    </a:xfrm>
                    <a:prstGeom prst="rect">
                      <a:avLst/>
                    </a:prstGeom>
                    <a:noFill/>
                    <a:ln>
                      <a:noFill/>
                    </a:ln>
                  </pic:spPr>
                </pic:pic>
              </a:graphicData>
            </a:graphic>
          </wp:inline>
        </w:drawing>
      </w:r>
    </w:p>
    <w:p w14:paraId="03F522B2">
      <w:pPr>
        <w:ind w:left="-3" w:firstLine="3"/>
        <w:jc w:val="both"/>
        <w:rPr>
          <w:rFonts w:hint="default" w:ascii="Arial Narrow" w:hAnsi="Arial Narrow" w:cs="Arial Narrow"/>
          <w:i/>
          <w:iCs/>
          <w:color w:val="auto"/>
          <w:sz w:val="18"/>
          <w:szCs w:val="18"/>
          <w:highlight w:val="none"/>
          <w:lang w:val="sl-SI"/>
        </w:rPr>
      </w:pPr>
    </w:p>
    <w:p w14:paraId="1FE52C69">
      <w:pPr>
        <w:rPr>
          <w:rFonts w:hint="default" w:ascii="Arial Narrow" w:hAnsi="Arial Narrow" w:cs="Arial Narrow"/>
          <w:color w:val="auto"/>
          <w:sz w:val="22"/>
          <w:szCs w:val="22"/>
          <w:highlight w:val="none"/>
          <w:lang w:val="sl-SI"/>
        </w:rPr>
      </w:pPr>
      <w:r>
        <w:rPr>
          <w:rFonts w:hint="default" w:ascii="Arial Narrow" w:hAnsi="Arial Narrow" w:cs="Arial Narrow"/>
          <w:color w:val="auto"/>
          <w:sz w:val="22"/>
          <w:szCs w:val="22"/>
          <w:highlight w:val="none"/>
          <w:lang w:val="sl-SI"/>
        </w:rPr>
        <w:t xml:space="preserve">V velikem merilu je prostor že izoblikovan, novi objekt bo definiral južni rob pozidave javnih objektov ter se z jugovzhodno stranico naslonil na prosto površino športnega igrišča. Pozidava območja sledi uveljavljenim principom umeščanja pozidave ob lokalno cesto in ob vznožje gričevja, širitve pa izkazujejo umeščanje v prostor na način sodobnega vstavljanja objekta v prostor. </w:t>
      </w:r>
    </w:p>
    <w:p w14:paraId="0FD12BCB">
      <w:pPr>
        <w:rPr>
          <w:rFonts w:hint="default" w:ascii="Arial Narrow" w:hAnsi="Arial Narrow" w:cs="Arial Narrow"/>
          <w:color w:val="auto"/>
          <w:sz w:val="22"/>
          <w:szCs w:val="22"/>
          <w:highlight w:val="none"/>
          <w:lang w:val="sl-SI"/>
        </w:rPr>
      </w:pPr>
    </w:p>
    <w:p w14:paraId="1F38E7D8">
      <w:pPr>
        <w:rPr>
          <w:rFonts w:hint="default" w:ascii="Arial Narrow" w:hAnsi="Arial Narrow" w:cs="Arial Narrow"/>
          <w:color w:val="auto"/>
          <w:sz w:val="22"/>
          <w:szCs w:val="22"/>
          <w:highlight w:val="none"/>
          <w:lang w:val="sl-SI"/>
        </w:rPr>
      </w:pPr>
      <w:r>
        <w:rPr>
          <w:rFonts w:hint="default" w:ascii="Arial Narrow" w:hAnsi="Arial Narrow" w:cs="Arial Narrow"/>
          <w:color w:val="auto"/>
          <w:sz w:val="22"/>
          <w:szCs w:val="22"/>
          <w:highlight w:val="none"/>
          <w:lang w:val="sl-SI"/>
        </w:rPr>
        <w:t xml:space="preserve">Prostor, ki je tradicionalno namenjen javni družbeni infrastrukturi, je zasnovan transparentno - poleg tradicionalne pretočnosti v smeri V-Z je možno vzpostaviti tudi peš povezavo na južni strani območja. Perforacija strukture in zasnova javnih objektov z ureditvijo zunanjih površin naj omogoča ustrezno prehodnost za pešca in kolesarja in lahko v prihodnosti vzpostavlja ločen sistem površin za pešca in kolesarja v širšem območju. </w:t>
      </w:r>
    </w:p>
    <w:p w14:paraId="46FB1D10">
      <w:pPr>
        <w:ind w:left="-3" w:firstLine="3"/>
        <w:jc w:val="both"/>
        <w:rPr>
          <w:rFonts w:hint="default" w:ascii="Arial Narrow" w:hAnsi="Arial Narrow" w:cs="Arial Narrow"/>
          <w:i/>
          <w:iCs/>
          <w:color w:val="auto"/>
          <w:sz w:val="18"/>
          <w:szCs w:val="18"/>
          <w:highlight w:val="none"/>
          <w:lang w:val="sl-SI"/>
        </w:rPr>
      </w:pPr>
    </w:p>
    <w:p w14:paraId="10B9BBE1">
      <w:pPr>
        <w:ind w:left="-3" w:firstLine="3"/>
        <w:jc w:val="both"/>
        <w:rPr>
          <w:rFonts w:hint="default" w:ascii="Arial Narrow" w:hAnsi="Arial Narrow" w:cs="Arial Narrow"/>
          <w:i/>
          <w:iCs/>
          <w:color w:val="auto"/>
          <w:sz w:val="18"/>
          <w:szCs w:val="18"/>
          <w:highlight w:val="none"/>
          <w:lang w:val="sl-SI"/>
        </w:rPr>
      </w:pPr>
      <w:r>
        <w:drawing>
          <wp:inline distT="0" distB="0" distL="114300" distR="114300">
            <wp:extent cx="5955030" cy="1068705"/>
            <wp:effectExtent l="0" t="0" r="7620" b="17145"/>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2"/>
                    <pic:cNvPicPr>
                      <a:picLocks noChangeAspect="1"/>
                    </pic:cNvPicPr>
                  </pic:nvPicPr>
                  <pic:blipFill>
                    <a:blip r:embed="rId12"/>
                    <a:stretch>
                      <a:fillRect/>
                    </a:stretch>
                  </pic:blipFill>
                  <pic:spPr>
                    <a:xfrm>
                      <a:off x="0" y="0"/>
                      <a:ext cx="5955030" cy="1068705"/>
                    </a:xfrm>
                    <a:prstGeom prst="rect">
                      <a:avLst/>
                    </a:prstGeom>
                    <a:noFill/>
                    <a:ln>
                      <a:noFill/>
                    </a:ln>
                  </pic:spPr>
                </pic:pic>
              </a:graphicData>
            </a:graphic>
          </wp:inline>
        </w:drawing>
      </w:r>
    </w:p>
    <w:p w14:paraId="0B479D05">
      <w:pPr>
        <w:ind w:left="-3" w:firstLine="3"/>
        <w:jc w:val="both"/>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3</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Pogled z zahoda na sosednji večnamenski objekt v ozadju objekt “Zadružni dom” (GoogleMaps, dec. 2024)</w:t>
      </w:r>
    </w:p>
    <w:p w14:paraId="302C2EFA">
      <w:pPr>
        <w:ind w:left="-3" w:firstLine="3"/>
        <w:jc w:val="both"/>
        <w:rPr>
          <w:rFonts w:hint="default" w:ascii="Arial Narrow" w:hAnsi="Arial Narrow" w:cs="Arial Narrow"/>
          <w:i/>
          <w:iCs/>
          <w:color w:val="auto"/>
          <w:sz w:val="18"/>
          <w:szCs w:val="18"/>
          <w:highlight w:val="none"/>
          <w:lang w:val="sl-SI"/>
        </w:rPr>
      </w:pPr>
    </w:p>
    <w:p w14:paraId="667A737D">
      <w:pPr>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lang w:val="sl-SI"/>
        </w:rPr>
        <w:drawing>
          <wp:inline distT="0" distB="0" distL="114300" distR="114300">
            <wp:extent cx="5966460" cy="4471670"/>
            <wp:effectExtent l="0" t="0" r="15240" b="5080"/>
            <wp:docPr id="32" name="Bild 32" descr="grad velika nedelja velika nedelja obcina ormoz hikuk_com15_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ild 32" descr="grad velika nedelja velika nedelja obcina ormoz hikuk_com15_large"/>
                    <pic:cNvPicPr>
                      <a:picLocks noChangeAspect="1"/>
                    </pic:cNvPicPr>
                  </pic:nvPicPr>
                  <pic:blipFill>
                    <a:blip r:embed="rId13"/>
                    <a:stretch>
                      <a:fillRect/>
                    </a:stretch>
                  </pic:blipFill>
                  <pic:spPr>
                    <a:xfrm>
                      <a:off x="0" y="0"/>
                      <a:ext cx="5966460" cy="4471670"/>
                    </a:xfrm>
                    <a:prstGeom prst="rect">
                      <a:avLst/>
                    </a:prstGeom>
                  </pic:spPr>
                </pic:pic>
              </a:graphicData>
            </a:graphic>
          </wp:inline>
        </w:drawing>
      </w:r>
    </w:p>
    <w:p w14:paraId="6A142BF4">
      <w:pPr>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4</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 xml:space="preserve">Dobra čitljivost urbane strukture historičnega jedra in proste površine ob vznožju grajskega griča na južni strani, pogled z vzhoda. </w:t>
      </w:r>
      <w:r>
        <w:rPr>
          <w:rFonts w:hint="default" w:ascii="Arial Narrow" w:hAnsi="Arial Narrow" w:cs="Arial Narrow"/>
          <w:i/>
          <w:iCs/>
          <w:color w:val="auto"/>
          <w:sz w:val="18"/>
          <w:szCs w:val="18"/>
          <w:highlight w:val="none"/>
        </w:rPr>
        <w:t>(</w:t>
      </w:r>
      <w:r>
        <w:rPr>
          <w:rFonts w:hint="default" w:ascii="Arial Narrow" w:hAnsi="Arial Narrow" w:cs="Arial Narrow"/>
          <w:i/>
          <w:iCs/>
          <w:color w:val="auto"/>
          <w:sz w:val="18"/>
          <w:szCs w:val="18"/>
          <w:highlight w:val="none"/>
          <w:lang w:val="sl-SI"/>
        </w:rPr>
        <w:t>medmrežje, dec. 2024)</w:t>
      </w:r>
    </w:p>
    <w:p w14:paraId="55AF9595">
      <w:pPr>
        <w:rPr>
          <w:rFonts w:hint="default" w:ascii="Arial Narrow" w:hAnsi="Arial Narrow" w:cs="Arial Narrow"/>
          <w:i/>
          <w:iCs/>
          <w:color w:val="auto"/>
          <w:sz w:val="18"/>
          <w:szCs w:val="18"/>
          <w:highlight w:val="none"/>
          <w:lang w:val="sl-SI"/>
        </w:rPr>
      </w:pPr>
    </w:p>
    <w:p w14:paraId="10A97CD7">
      <w:pPr>
        <w:rPr>
          <w:rFonts w:hint="default" w:ascii="Arial Narrow" w:hAnsi="Arial Narrow" w:cs="Arial Narrow"/>
          <w:i/>
          <w:iCs/>
          <w:color w:val="auto"/>
          <w:sz w:val="18"/>
          <w:szCs w:val="18"/>
          <w:highlight w:val="none"/>
          <w:lang w:val="sl-SI"/>
        </w:rPr>
      </w:pPr>
    </w:p>
    <w:p w14:paraId="5D58E14D">
      <w:pPr>
        <w:rPr>
          <w:rFonts w:hint="default" w:ascii="Arial Narrow" w:hAnsi="Arial Narrow" w:cs="Arial Narrow"/>
          <w:i/>
          <w:iCs/>
          <w:color w:val="auto"/>
          <w:sz w:val="18"/>
          <w:szCs w:val="18"/>
          <w:highlight w:val="none"/>
          <w:lang w:val="sl-SI"/>
        </w:rPr>
      </w:pPr>
      <w:r>
        <w:drawing>
          <wp:inline distT="0" distB="0" distL="114300" distR="114300">
            <wp:extent cx="5949950" cy="2157095"/>
            <wp:effectExtent l="0" t="0" r="12700" b="14605"/>
            <wp:docPr id="10"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 3"/>
                    <pic:cNvPicPr>
                      <a:picLocks noChangeAspect="1"/>
                    </pic:cNvPicPr>
                  </pic:nvPicPr>
                  <pic:blipFill>
                    <a:blip r:embed="rId14"/>
                    <a:stretch>
                      <a:fillRect/>
                    </a:stretch>
                  </pic:blipFill>
                  <pic:spPr>
                    <a:xfrm>
                      <a:off x="0" y="0"/>
                      <a:ext cx="5949950" cy="2157095"/>
                    </a:xfrm>
                    <a:prstGeom prst="rect">
                      <a:avLst/>
                    </a:prstGeom>
                    <a:noFill/>
                    <a:ln>
                      <a:noFill/>
                    </a:ln>
                  </pic:spPr>
                </pic:pic>
              </a:graphicData>
            </a:graphic>
          </wp:inline>
        </w:drawing>
      </w:r>
    </w:p>
    <w:p w14:paraId="26A63738">
      <w:pPr>
        <w:ind w:left="-3" w:firstLine="3"/>
        <w:jc w:val="both"/>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5</w:t>
      </w:r>
      <w:r>
        <w:rPr>
          <w:rFonts w:hint="default" w:ascii="Arial Narrow" w:hAnsi="Arial Narrow" w:cs="Arial Narrow"/>
          <w:i/>
          <w:iCs/>
          <w:color w:val="auto"/>
          <w:sz w:val="18"/>
          <w:szCs w:val="18"/>
          <w:highlight w:val="none"/>
        </w:rPr>
        <w:t>:</w:t>
      </w:r>
      <w:r>
        <w:rPr>
          <w:rFonts w:hint="default" w:ascii="Arial Narrow" w:hAnsi="Arial Narrow" w:cs="Arial Narrow"/>
          <w:i/>
          <w:iCs/>
          <w:color w:val="auto"/>
          <w:sz w:val="18"/>
          <w:szCs w:val="18"/>
          <w:highlight w:val="none"/>
          <w:lang w:val="sl-SI"/>
        </w:rPr>
        <w:t xml:space="preserve"> Pogled s severozahoda na objekt Pošte in Kulturnega doma ter športne dvorane (Google Maps, dec. 2024)</w:t>
      </w:r>
    </w:p>
    <w:p w14:paraId="0E27B2A0">
      <w:pPr>
        <w:rPr>
          <w:rFonts w:hint="default" w:ascii="Arial Narrow" w:hAnsi="Arial Narrow" w:cs="Arial Narrow"/>
          <w:i/>
          <w:iCs/>
          <w:color w:val="auto"/>
          <w:sz w:val="18"/>
          <w:szCs w:val="18"/>
          <w:highlight w:val="none"/>
          <w:lang w:val="sl-SI"/>
        </w:rPr>
      </w:pPr>
    </w:p>
    <w:p w14:paraId="5058B098">
      <w:pPr>
        <w:rPr>
          <w:rFonts w:hint="default" w:ascii="Arial Narrow" w:hAnsi="Arial Narrow" w:cs="Arial Narrow"/>
          <w:color w:val="auto"/>
          <w:sz w:val="22"/>
          <w:szCs w:val="22"/>
          <w:highlight w:val="none"/>
          <w:lang w:val="sl-SI"/>
        </w:rPr>
      </w:pPr>
      <w:r>
        <w:rPr>
          <w:rFonts w:hint="default" w:ascii="Arial Narrow" w:hAnsi="Arial Narrow" w:cs="Arial Narrow"/>
          <w:color w:val="auto"/>
          <w:sz w:val="22"/>
          <w:szCs w:val="22"/>
          <w:highlight w:val="none"/>
          <w:lang w:val="sl-SI"/>
        </w:rPr>
        <w:t>Glede omejitev v prostoru je preliminarno preverjeno stanje v državnih podatkovnih bazah:</w:t>
      </w:r>
    </w:p>
    <w:p w14:paraId="4357C3E2">
      <w:pPr>
        <w:rPr>
          <w:rFonts w:hint="default" w:ascii="Arial Narrow" w:hAnsi="Arial Narrow" w:cs="Arial Narrow"/>
          <w:color w:val="auto"/>
          <w:sz w:val="22"/>
          <w:szCs w:val="22"/>
          <w:highlight w:val="none"/>
          <w:lang w:val="sl-SI"/>
        </w:rPr>
      </w:pPr>
    </w:p>
    <w:p w14:paraId="19888D83">
      <w:pPr>
        <w:rPr>
          <w:rFonts w:hint="default" w:ascii="Arial Narrow" w:hAnsi="Arial Narrow" w:cs="Arial Narrow"/>
          <w:color w:val="auto"/>
          <w:sz w:val="22"/>
          <w:szCs w:val="22"/>
          <w:highlight w:val="none"/>
          <w:lang w:val="sl-SI"/>
        </w:rPr>
      </w:pPr>
      <w:r>
        <w:drawing>
          <wp:inline distT="0" distB="0" distL="114300" distR="114300">
            <wp:extent cx="5963285" cy="3058795"/>
            <wp:effectExtent l="0" t="0" r="18415" b="8255"/>
            <wp:docPr id="33"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ild 4"/>
                    <pic:cNvPicPr>
                      <a:picLocks noChangeAspect="1"/>
                    </pic:cNvPicPr>
                  </pic:nvPicPr>
                  <pic:blipFill>
                    <a:blip r:embed="rId15"/>
                    <a:stretch>
                      <a:fillRect/>
                    </a:stretch>
                  </pic:blipFill>
                  <pic:spPr>
                    <a:xfrm>
                      <a:off x="0" y="0"/>
                      <a:ext cx="5963285" cy="3058795"/>
                    </a:xfrm>
                    <a:prstGeom prst="rect">
                      <a:avLst/>
                    </a:prstGeom>
                    <a:noFill/>
                    <a:ln>
                      <a:noFill/>
                    </a:ln>
                  </pic:spPr>
                </pic:pic>
              </a:graphicData>
            </a:graphic>
          </wp:inline>
        </w:drawing>
      </w:r>
    </w:p>
    <w:p w14:paraId="5EC1DF44">
      <w:pPr>
        <w:rPr>
          <w:rFonts w:hint="default" w:ascii="Arial Narrow"/>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6</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Geološka sestava tal v širšem območju (PISO, GURS, dec.2024)</w:t>
      </w:r>
    </w:p>
    <w:p w14:paraId="314897C6">
      <w:pPr>
        <w:rPr>
          <w:rFonts w:hint="default" w:ascii="Arial Narrow" w:hAnsi="Arial Narrow" w:cs="Arial Narrow"/>
          <w:color w:val="auto"/>
          <w:sz w:val="22"/>
          <w:szCs w:val="22"/>
          <w:highlight w:val="none"/>
          <w:lang w:val="sl-SI"/>
        </w:rPr>
      </w:pPr>
    </w:p>
    <w:p w14:paraId="5089DEF5">
      <w:r>
        <w:drawing>
          <wp:inline distT="0" distB="0" distL="114300" distR="114300">
            <wp:extent cx="5966460" cy="3148965"/>
            <wp:effectExtent l="0" t="0" r="15240" b="13335"/>
            <wp:docPr id="35"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 6"/>
                    <pic:cNvPicPr>
                      <a:picLocks noChangeAspect="1"/>
                    </pic:cNvPicPr>
                  </pic:nvPicPr>
                  <pic:blipFill>
                    <a:blip r:embed="rId16"/>
                    <a:stretch>
                      <a:fillRect/>
                    </a:stretch>
                  </pic:blipFill>
                  <pic:spPr>
                    <a:xfrm>
                      <a:off x="0" y="0"/>
                      <a:ext cx="5966460" cy="3148965"/>
                    </a:xfrm>
                    <a:prstGeom prst="rect">
                      <a:avLst/>
                    </a:prstGeom>
                    <a:noFill/>
                    <a:ln>
                      <a:noFill/>
                    </a:ln>
                  </pic:spPr>
                </pic:pic>
              </a:graphicData>
            </a:graphic>
          </wp:inline>
        </w:drawing>
      </w:r>
    </w:p>
    <w:p w14:paraId="66CA933C">
      <w:pPr>
        <w:rPr>
          <w:rFonts w:hint="default" w:ascii="Arial Narrow"/>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7</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Erozijska območja, lokacija je izven območja nevarnosti in vodovarstvenih območij (PISO, GURS, dec.2023)</w:t>
      </w:r>
    </w:p>
    <w:p w14:paraId="15A31038">
      <w:pPr>
        <w:rPr>
          <w:rFonts w:hint="default"/>
          <w:lang w:val="sl-SI"/>
        </w:rPr>
      </w:pPr>
    </w:p>
    <w:p w14:paraId="41B6228B">
      <w:pPr>
        <w:rPr>
          <w:rFonts w:hint="default" w:ascii="Arial Narrow" w:hAnsi="Arial Narrow" w:cs="Arial Narrow"/>
          <w:color w:val="auto"/>
          <w:sz w:val="22"/>
          <w:szCs w:val="22"/>
          <w:highlight w:val="none"/>
          <w:lang w:val="sl-SI"/>
        </w:rPr>
      </w:pPr>
      <w:r>
        <w:drawing>
          <wp:inline distT="0" distB="0" distL="114300" distR="114300">
            <wp:extent cx="5960745" cy="4899660"/>
            <wp:effectExtent l="0" t="0" r="1905" b="15240"/>
            <wp:docPr id="34"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Bild 5"/>
                    <pic:cNvPicPr>
                      <a:picLocks noChangeAspect="1"/>
                    </pic:cNvPicPr>
                  </pic:nvPicPr>
                  <pic:blipFill>
                    <a:blip r:embed="rId17"/>
                    <a:stretch>
                      <a:fillRect/>
                    </a:stretch>
                  </pic:blipFill>
                  <pic:spPr>
                    <a:xfrm>
                      <a:off x="0" y="0"/>
                      <a:ext cx="5960745" cy="4899660"/>
                    </a:xfrm>
                    <a:prstGeom prst="rect">
                      <a:avLst/>
                    </a:prstGeom>
                    <a:noFill/>
                    <a:ln>
                      <a:noFill/>
                    </a:ln>
                  </pic:spPr>
                </pic:pic>
              </a:graphicData>
            </a:graphic>
          </wp:inline>
        </w:drawing>
      </w:r>
    </w:p>
    <w:p w14:paraId="173DA0F9">
      <w:pPr>
        <w:rPr>
          <w:rFonts w:hint="default" w:ascii="Arial Narrow" w:hAnsi="Arial Narrow" w:cs="Arial Narrow"/>
          <w:color w:val="auto"/>
          <w:sz w:val="22"/>
          <w:szCs w:val="22"/>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8</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Območja kulturne dediščine v širšem območju, lokacija je izven območij varovane dediščine (PISO, GURS, dec.2024)</w:t>
      </w:r>
    </w:p>
    <w:p w14:paraId="31F85F80"/>
    <w:p w14:paraId="18C27383">
      <w:pPr>
        <w:rPr>
          <w:rFonts w:hint="default" w:ascii="Arial Narrow" w:hAnsi="Arial Narrow" w:cs="Arial Narrow"/>
          <w:b/>
          <w:bCs/>
          <w:color w:val="auto"/>
          <w:sz w:val="28"/>
          <w:szCs w:val="28"/>
          <w:highlight w:val="none"/>
        </w:rPr>
      </w:pPr>
      <w:r>
        <w:rPr>
          <w:rFonts w:hint="default" w:ascii="Arial Narrow" w:hAnsi="Arial Narrow" w:cs="Arial Narrow"/>
          <w:b/>
          <w:bCs/>
          <w:color w:val="auto"/>
          <w:sz w:val="28"/>
          <w:szCs w:val="28"/>
          <w:highlight w:val="none"/>
        </w:rPr>
        <w:t>4_</w:t>
      </w:r>
      <w:r>
        <w:rPr>
          <w:rFonts w:hint="default" w:ascii="Arial Narrow" w:hAnsi="Arial Narrow" w:cs="Arial Narrow"/>
          <w:color w:val="auto"/>
          <w:highlight w:val="none"/>
        </w:rPr>
        <w:t xml:space="preserve"> </w:t>
      </w:r>
      <w:r>
        <w:rPr>
          <w:rFonts w:hint="default" w:ascii="Arial Narrow" w:hAnsi="Arial Narrow" w:cs="Arial Narrow"/>
          <w:b/>
          <w:bCs/>
          <w:color w:val="auto"/>
          <w:sz w:val="28"/>
          <w:szCs w:val="28"/>
          <w:highlight w:val="none"/>
        </w:rPr>
        <w:t>PODATKI O PROSTORSKIH AKTIH</w:t>
      </w:r>
      <w:r>
        <w:rPr>
          <w:rFonts w:hint="default" w:ascii="Arial Narrow" w:hAnsi="Arial Narrow" w:cs="Arial Narrow"/>
          <w:b/>
          <w:bCs/>
          <w:color w:val="auto"/>
          <w:sz w:val="28"/>
          <w:szCs w:val="28"/>
          <w:highlight w:val="none"/>
          <w:lang w:val="sl-SI"/>
        </w:rPr>
        <w:t xml:space="preserve"> IN</w:t>
      </w:r>
      <w:r>
        <w:rPr>
          <w:rFonts w:hint="default" w:ascii="Arial Narrow" w:hAnsi="Arial Narrow" w:cs="Arial Narrow"/>
          <w:b/>
          <w:bCs/>
          <w:color w:val="auto"/>
          <w:sz w:val="28"/>
          <w:szCs w:val="28"/>
          <w:highlight w:val="none"/>
        </w:rPr>
        <w:t xml:space="preserve"> POGOJIH NOSILCEV UREJANJA PROSTORA </w:t>
      </w:r>
    </w:p>
    <w:p w14:paraId="0C1BFD5D">
      <w:pPr>
        <w:spacing w:line="276" w:lineRule="auto"/>
        <w:jc w:val="both"/>
        <w:rPr>
          <w:rFonts w:hint="default" w:ascii="Arial Narrow" w:hAnsi="Arial Narrow" w:cs="Arial Narrow"/>
          <w:color w:val="auto"/>
          <w:sz w:val="22"/>
          <w:szCs w:val="22"/>
          <w:highlight w:val="none"/>
        </w:rPr>
      </w:pPr>
    </w:p>
    <w:p w14:paraId="593C9E4C">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eastAsia="Times New Roman" w:cs="Arial Narrow"/>
          <w:i w:val="0"/>
          <w:iCs w:val="0"/>
          <w:caps w:val="0"/>
          <w:color w:val="222222"/>
          <w:spacing w:val="0"/>
          <w:kern w:val="0"/>
          <w:sz w:val="22"/>
          <w:szCs w:val="22"/>
          <w:shd w:val="clear" w:fill="FFFFFF"/>
          <w:lang w:val="en-US" w:eastAsia="zh-CN" w:bidi="ar"/>
        </w:rPr>
        <w:t xml:space="preserve">V skladu z </w:t>
      </w:r>
      <w:r>
        <w:rPr>
          <w:rFonts w:hint="default" w:ascii="Arial Narrow" w:hAnsi="Arial Narrow" w:cs="Arial Narrow"/>
          <w:i w:val="0"/>
          <w:iCs w:val="0"/>
          <w:caps w:val="0"/>
          <w:color w:val="222222"/>
          <w:spacing w:val="0"/>
          <w:kern w:val="0"/>
          <w:sz w:val="22"/>
          <w:szCs w:val="22"/>
          <w:shd w:val="clear" w:fill="FFFFFF"/>
          <w:lang w:val="sl-SI" w:eastAsia="zh-CN" w:bidi="ar"/>
        </w:rPr>
        <w:t xml:space="preserve">veljavnim prostorskim podrobnim načrtom (OPN Občine Ormož) je območje predvideno za pozidavo, opredeljena je namenska raba Centralnih dejavnosti CU , območje je poimenovano VN 1. </w:t>
      </w:r>
    </w:p>
    <w:p w14:paraId="35EE443F">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 xml:space="preserve">Natečaj je namenjen pridobitvi ustrezne prostorske rešitve za pozidavo, OPN pa omogoča izdajo gradbenega dovoljenja, tako da ni predvidena sprememba prostorskega akta.  </w:t>
      </w:r>
    </w:p>
    <w:p w14:paraId="78F899A2">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Za predvideno pozidavo je bila v letu 2024 pridobljena lokacijska informacija, ki je del razpisnega gradiva.</w:t>
      </w:r>
    </w:p>
    <w:p w14:paraId="51C84D5C">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p>
    <w:p w14:paraId="16E70F61">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drawing>
          <wp:inline distT="0" distB="0" distL="114300" distR="114300">
            <wp:extent cx="5964555" cy="3919855"/>
            <wp:effectExtent l="0" t="0" r="17145" b="4445"/>
            <wp:docPr id="37"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Bild 8"/>
                    <pic:cNvPicPr>
                      <a:picLocks noChangeAspect="1"/>
                    </pic:cNvPicPr>
                  </pic:nvPicPr>
                  <pic:blipFill>
                    <a:blip r:embed="rId18"/>
                    <a:stretch>
                      <a:fillRect/>
                    </a:stretch>
                  </pic:blipFill>
                  <pic:spPr>
                    <a:xfrm>
                      <a:off x="0" y="0"/>
                      <a:ext cx="5964555" cy="3919855"/>
                    </a:xfrm>
                    <a:prstGeom prst="rect">
                      <a:avLst/>
                    </a:prstGeom>
                    <a:noFill/>
                    <a:ln>
                      <a:noFill/>
                    </a:ln>
                  </pic:spPr>
                </pic:pic>
              </a:graphicData>
            </a:graphic>
          </wp:inline>
        </w:drawing>
      </w:r>
    </w:p>
    <w:p w14:paraId="19D2F2EE">
      <w:pPr>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9</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Izsek iz veljavnega prostorskega akta OPN (O Ormož, PISO, GURS</w:t>
      </w:r>
      <w:r>
        <w:rPr>
          <w:rFonts w:hint="default" w:ascii="Arial Narrow" w:hAnsi="Arial Narrow" w:cs="Arial Narrow"/>
          <w:i/>
          <w:iCs/>
          <w:color w:val="auto"/>
          <w:sz w:val="18"/>
          <w:szCs w:val="18"/>
          <w:highlight w:val="none"/>
        </w:rPr>
        <w:t>©</w:t>
      </w:r>
      <w:r>
        <w:rPr>
          <w:rFonts w:hint="default" w:ascii="Arial Narrow" w:hAnsi="Arial Narrow" w:cs="Arial Narrow"/>
          <w:i/>
          <w:iCs/>
          <w:color w:val="auto"/>
          <w:sz w:val="18"/>
          <w:szCs w:val="18"/>
          <w:highlight w:val="none"/>
          <w:lang w:val="sl-SI"/>
        </w:rPr>
        <w:t xml:space="preserve">, </w:t>
      </w:r>
      <w:r>
        <w:rPr>
          <w:rFonts w:hint="default" w:ascii="Arial Narrow" w:hAnsi="Arial Narrow" w:cs="Arial Narrow"/>
          <w:i/>
          <w:iCs/>
          <w:color w:val="auto"/>
          <w:sz w:val="18"/>
          <w:szCs w:val="18"/>
          <w:highlight w:val="none"/>
        </w:rPr>
        <w:t>20</w:t>
      </w:r>
      <w:r>
        <w:rPr>
          <w:rFonts w:hint="default" w:ascii="Arial Narrow" w:hAnsi="Arial Narrow" w:cs="Arial Narrow"/>
          <w:i/>
          <w:iCs/>
          <w:color w:val="auto"/>
          <w:sz w:val="18"/>
          <w:szCs w:val="18"/>
          <w:highlight w:val="none"/>
          <w:lang w:val="sl-SI"/>
        </w:rPr>
        <w:t>24)</w:t>
      </w:r>
    </w:p>
    <w:p w14:paraId="4BCD348A"/>
    <w:p w14:paraId="52EEEB53">
      <w:pPr>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Hkrati so bili preverjeni podatki glede gospodarske javne infrastrukture, ki so prikazani v nadaljevanju:</w:t>
      </w:r>
    </w:p>
    <w:p w14:paraId="094614C7">
      <w:pPr>
        <w:rPr>
          <w:rFonts w:hint="default" w:ascii="Arial Narrow" w:hAnsi="Arial Narrow" w:cs="Arial Narrow"/>
          <w:i w:val="0"/>
          <w:iCs w:val="0"/>
          <w:caps w:val="0"/>
          <w:color w:val="222222"/>
          <w:spacing w:val="0"/>
          <w:kern w:val="0"/>
          <w:sz w:val="22"/>
          <w:szCs w:val="22"/>
          <w:shd w:val="clear" w:fill="FFFFFF"/>
          <w:lang w:val="sl-SI" w:eastAsia="zh-CN" w:bidi="ar"/>
        </w:rPr>
      </w:pPr>
      <w:r>
        <w:drawing>
          <wp:inline distT="0" distB="0" distL="114300" distR="114300">
            <wp:extent cx="3535680" cy="2567940"/>
            <wp:effectExtent l="0" t="0" r="7620" b="3810"/>
            <wp:docPr id="38"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ild 9"/>
                    <pic:cNvPicPr>
                      <a:picLocks noChangeAspect="1"/>
                    </pic:cNvPicPr>
                  </pic:nvPicPr>
                  <pic:blipFill>
                    <a:blip r:embed="rId19"/>
                    <a:stretch>
                      <a:fillRect/>
                    </a:stretch>
                  </pic:blipFill>
                  <pic:spPr>
                    <a:xfrm>
                      <a:off x="0" y="0"/>
                      <a:ext cx="3535680" cy="2567940"/>
                    </a:xfrm>
                    <a:prstGeom prst="rect">
                      <a:avLst/>
                    </a:prstGeom>
                    <a:noFill/>
                    <a:ln>
                      <a:noFill/>
                    </a:ln>
                  </pic:spPr>
                </pic:pic>
              </a:graphicData>
            </a:graphic>
          </wp:inline>
        </w:drawing>
      </w:r>
    </w:p>
    <w:p w14:paraId="75B054B1">
      <w:pPr>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10</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Zbirna karta GJI, izsek (O Ormož, PISO, GURS</w:t>
      </w:r>
      <w:r>
        <w:rPr>
          <w:rFonts w:hint="default" w:ascii="Arial Narrow" w:hAnsi="Arial Narrow" w:cs="Arial Narrow"/>
          <w:i/>
          <w:iCs/>
          <w:color w:val="auto"/>
          <w:sz w:val="18"/>
          <w:szCs w:val="18"/>
          <w:highlight w:val="none"/>
        </w:rPr>
        <w:t>©</w:t>
      </w:r>
      <w:r>
        <w:rPr>
          <w:rFonts w:hint="default" w:ascii="Arial Narrow" w:hAnsi="Arial Narrow" w:cs="Arial Narrow"/>
          <w:i/>
          <w:iCs/>
          <w:color w:val="auto"/>
          <w:sz w:val="18"/>
          <w:szCs w:val="18"/>
          <w:highlight w:val="none"/>
          <w:lang w:val="sl-SI"/>
        </w:rPr>
        <w:t xml:space="preserve"> </w:t>
      </w:r>
      <w:r>
        <w:rPr>
          <w:rFonts w:hint="default" w:ascii="Arial Narrow" w:hAnsi="Arial Narrow" w:cs="Arial Narrow"/>
          <w:i/>
          <w:iCs/>
          <w:color w:val="auto"/>
          <w:sz w:val="18"/>
          <w:szCs w:val="18"/>
          <w:highlight w:val="none"/>
        </w:rPr>
        <w:t>20</w:t>
      </w:r>
      <w:r>
        <w:rPr>
          <w:rFonts w:hint="default" w:ascii="Arial Narrow" w:hAnsi="Arial Narrow" w:cs="Arial Narrow"/>
          <w:i/>
          <w:iCs/>
          <w:color w:val="auto"/>
          <w:sz w:val="18"/>
          <w:szCs w:val="18"/>
          <w:highlight w:val="none"/>
          <w:lang w:val="sl-SI"/>
        </w:rPr>
        <w:t>24)</w:t>
      </w:r>
    </w:p>
    <w:p w14:paraId="353F1CA0">
      <w:pPr>
        <w:rPr>
          <w:rFonts w:hint="default" w:ascii="Arial Narrow" w:hAnsi="Arial Narrow" w:cs="Arial Narrow"/>
          <w:i w:val="0"/>
          <w:iCs w:val="0"/>
          <w:caps w:val="0"/>
          <w:color w:val="222222"/>
          <w:spacing w:val="0"/>
          <w:kern w:val="0"/>
          <w:sz w:val="22"/>
          <w:szCs w:val="22"/>
          <w:shd w:val="clear" w:fill="FFFFFF"/>
          <w:lang w:val="sl-SI" w:eastAsia="zh-CN" w:bidi="ar"/>
        </w:rPr>
      </w:pPr>
    </w:p>
    <w:p w14:paraId="4374EFA1">
      <w:r>
        <w:drawing>
          <wp:inline distT="0" distB="0" distL="114300" distR="114300">
            <wp:extent cx="5967730" cy="3270885"/>
            <wp:effectExtent l="0" t="0" r="13970" b="5715"/>
            <wp:docPr id="36"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7"/>
                    <pic:cNvPicPr>
                      <a:picLocks noChangeAspect="1"/>
                    </pic:cNvPicPr>
                  </pic:nvPicPr>
                  <pic:blipFill>
                    <a:blip r:embed="rId20"/>
                    <a:stretch>
                      <a:fillRect/>
                    </a:stretch>
                  </pic:blipFill>
                  <pic:spPr>
                    <a:xfrm>
                      <a:off x="0" y="0"/>
                      <a:ext cx="5967730" cy="3270885"/>
                    </a:xfrm>
                    <a:prstGeom prst="rect">
                      <a:avLst/>
                    </a:prstGeom>
                    <a:noFill/>
                    <a:ln>
                      <a:noFill/>
                    </a:ln>
                  </pic:spPr>
                </pic:pic>
              </a:graphicData>
            </a:graphic>
          </wp:inline>
        </w:drawing>
      </w:r>
    </w:p>
    <w:p w14:paraId="7821CA1D">
      <w:pPr>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11</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 xml:space="preserve">GJI, prometna infrastruktura, na severu LC 302031 in 804792, na zahodu LC 804791, izsek (O Ormož, PISO, </w:t>
      </w:r>
      <w:r>
        <w:rPr>
          <w:rFonts w:hint="default" w:ascii="Arial Narrow" w:hAnsi="Arial Narrow" w:cs="Arial Narrow"/>
          <w:i/>
          <w:iCs/>
          <w:color w:val="auto"/>
          <w:sz w:val="18"/>
          <w:szCs w:val="18"/>
          <w:highlight w:val="none"/>
        </w:rPr>
        <w:t>20</w:t>
      </w:r>
      <w:r>
        <w:rPr>
          <w:rFonts w:hint="default" w:ascii="Arial Narrow" w:hAnsi="Arial Narrow" w:cs="Arial Narrow"/>
          <w:i/>
          <w:iCs/>
          <w:color w:val="auto"/>
          <w:sz w:val="18"/>
          <w:szCs w:val="18"/>
          <w:highlight w:val="none"/>
          <w:lang w:val="sl-SI"/>
        </w:rPr>
        <w:t>24)</w:t>
      </w:r>
    </w:p>
    <w:p w14:paraId="47F41D4B">
      <w:pPr>
        <w:rPr>
          <w:rFonts w:hint="default" w:ascii="Arial Narrow" w:hAnsi="Arial Narrow" w:cs="Arial Narrow"/>
          <w:i w:val="0"/>
          <w:iCs w:val="0"/>
          <w:caps w:val="0"/>
          <w:color w:val="222222"/>
          <w:spacing w:val="0"/>
          <w:kern w:val="0"/>
          <w:sz w:val="22"/>
          <w:szCs w:val="22"/>
          <w:shd w:val="clear" w:fill="FFFFFF"/>
          <w:lang w:val="sl-SI" w:eastAsia="zh-CN" w:bidi="ar"/>
        </w:rPr>
      </w:pPr>
    </w:p>
    <w:p w14:paraId="717D0604">
      <w:pPr>
        <w:rPr>
          <w:rFonts w:hint="default" w:ascii="Arial Narrow" w:hAnsi="Arial Narrow" w:cs="Arial Narrow"/>
          <w:i w:val="0"/>
          <w:iCs w:val="0"/>
          <w:caps w:val="0"/>
          <w:color w:val="222222"/>
          <w:spacing w:val="0"/>
          <w:kern w:val="0"/>
          <w:sz w:val="22"/>
          <w:szCs w:val="22"/>
          <w:shd w:val="clear" w:fill="FFFFFF"/>
          <w:lang w:val="sl-SI" w:eastAsia="zh-CN" w:bidi="ar"/>
        </w:rPr>
      </w:pPr>
      <w:r>
        <w:drawing>
          <wp:inline distT="0" distB="0" distL="114300" distR="114300">
            <wp:extent cx="5965190" cy="4314190"/>
            <wp:effectExtent l="0" t="0" r="16510" b="10160"/>
            <wp:docPr id="3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ild 10"/>
                    <pic:cNvPicPr>
                      <a:picLocks noChangeAspect="1"/>
                    </pic:cNvPicPr>
                  </pic:nvPicPr>
                  <pic:blipFill>
                    <a:blip r:embed="rId21"/>
                    <a:stretch>
                      <a:fillRect/>
                    </a:stretch>
                  </pic:blipFill>
                  <pic:spPr>
                    <a:xfrm>
                      <a:off x="0" y="0"/>
                      <a:ext cx="5965190" cy="4314190"/>
                    </a:xfrm>
                    <a:prstGeom prst="rect">
                      <a:avLst/>
                    </a:prstGeom>
                    <a:noFill/>
                    <a:ln>
                      <a:noFill/>
                    </a:ln>
                  </pic:spPr>
                </pic:pic>
              </a:graphicData>
            </a:graphic>
          </wp:inline>
        </w:drawing>
      </w:r>
    </w:p>
    <w:p w14:paraId="5C120CEA">
      <w:pPr>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12</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GJI, komunalna infrastruktura, izsek (O Ormož, PISO, GURS</w:t>
      </w:r>
      <w:r>
        <w:rPr>
          <w:rFonts w:hint="default" w:ascii="Arial Narrow" w:hAnsi="Arial Narrow" w:cs="Arial Narrow"/>
          <w:i/>
          <w:iCs/>
          <w:color w:val="auto"/>
          <w:sz w:val="18"/>
          <w:szCs w:val="18"/>
          <w:highlight w:val="none"/>
        </w:rPr>
        <w:t>©</w:t>
      </w:r>
      <w:r>
        <w:rPr>
          <w:rFonts w:hint="default" w:ascii="Arial Narrow" w:hAnsi="Arial Narrow" w:cs="Arial Narrow"/>
          <w:i/>
          <w:iCs/>
          <w:color w:val="auto"/>
          <w:sz w:val="18"/>
          <w:szCs w:val="18"/>
          <w:highlight w:val="none"/>
          <w:lang w:val="sl-SI"/>
        </w:rPr>
        <w:t xml:space="preserve"> </w:t>
      </w:r>
      <w:r>
        <w:rPr>
          <w:rFonts w:hint="default" w:ascii="Arial Narrow" w:hAnsi="Arial Narrow" w:cs="Arial Narrow"/>
          <w:i/>
          <w:iCs/>
          <w:color w:val="auto"/>
          <w:sz w:val="18"/>
          <w:szCs w:val="18"/>
          <w:highlight w:val="none"/>
        </w:rPr>
        <w:t>20</w:t>
      </w:r>
      <w:r>
        <w:rPr>
          <w:rFonts w:hint="default" w:ascii="Arial Narrow" w:hAnsi="Arial Narrow" w:cs="Arial Narrow"/>
          <w:i/>
          <w:iCs/>
          <w:color w:val="auto"/>
          <w:sz w:val="18"/>
          <w:szCs w:val="18"/>
          <w:highlight w:val="none"/>
          <w:lang w:val="sl-SI"/>
        </w:rPr>
        <w:t>23)</w:t>
      </w:r>
    </w:p>
    <w:p w14:paraId="16F3CFF4">
      <w:pPr>
        <w:rPr>
          <w:rFonts w:hint="default" w:ascii="Arial Narrow" w:hAnsi="Arial Narrow" w:cs="Arial Narrow"/>
          <w:i/>
          <w:iCs/>
          <w:color w:val="auto"/>
          <w:sz w:val="18"/>
          <w:szCs w:val="18"/>
          <w:highlight w:val="none"/>
          <w:lang w:val="sl-SI"/>
        </w:rPr>
      </w:pPr>
    </w:p>
    <w:p w14:paraId="7B2B409E">
      <w:r>
        <w:drawing>
          <wp:inline distT="0" distB="0" distL="114300" distR="114300">
            <wp:extent cx="5967095" cy="3356610"/>
            <wp:effectExtent l="0" t="0" r="14605" b="15240"/>
            <wp:docPr id="40"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Bild 11"/>
                    <pic:cNvPicPr>
                      <a:picLocks noChangeAspect="1"/>
                    </pic:cNvPicPr>
                  </pic:nvPicPr>
                  <pic:blipFill>
                    <a:blip r:embed="rId22"/>
                    <a:stretch>
                      <a:fillRect/>
                    </a:stretch>
                  </pic:blipFill>
                  <pic:spPr>
                    <a:xfrm>
                      <a:off x="0" y="0"/>
                      <a:ext cx="5967095" cy="3356610"/>
                    </a:xfrm>
                    <a:prstGeom prst="rect">
                      <a:avLst/>
                    </a:prstGeom>
                    <a:noFill/>
                    <a:ln>
                      <a:noFill/>
                    </a:ln>
                  </pic:spPr>
                </pic:pic>
              </a:graphicData>
            </a:graphic>
          </wp:inline>
        </w:drawing>
      </w:r>
    </w:p>
    <w:p w14:paraId="309BFBAF">
      <w:pPr>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13</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GJI, energetska infrastruktura, izsek (O Ormož, PISO, GURS</w:t>
      </w:r>
      <w:r>
        <w:rPr>
          <w:rFonts w:hint="default" w:ascii="Arial Narrow" w:hAnsi="Arial Narrow" w:cs="Arial Narrow"/>
          <w:i/>
          <w:iCs/>
          <w:color w:val="auto"/>
          <w:sz w:val="18"/>
          <w:szCs w:val="18"/>
          <w:highlight w:val="none"/>
        </w:rPr>
        <w:t>©</w:t>
      </w:r>
      <w:r>
        <w:rPr>
          <w:rFonts w:hint="default" w:ascii="Arial Narrow" w:hAnsi="Arial Narrow" w:cs="Arial Narrow"/>
          <w:i/>
          <w:iCs/>
          <w:color w:val="auto"/>
          <w:sz w:val="18"/>
          <w:szCs w:val="18"/>
          <w:highlight w:val="none"/>
          <w:lang w:val="sl-SI"/>
        </w:rPr>
        <w:t xml:space="preserve"> </w:t>
      </w:r>
      <w:r>
        <w:rPr>
          <w:rFonts w:hint="default" w:ascii="Arial Narrow" w:hAnsi="Arial Narrow" w:cs="Arial Narrow"/>
          <w:i/>
          <w:iCs/>
          <w:color w:val="auto"/>
          <w:sz w:val="18"/>
          <w:szCs w:val="18"/>
          <w:highlight w:val="none"/>
        </w:rPr>
        <w:t>20</w:t>
      </w:r>
      <w:r>
        <w:rPr>
          <w:rFonts w:hint="default" w:ascii="Arial Narrow" w:hAnsi="Arial Narrow" w:cs="Arial Narrow"/>
          <w:i/>
          <w:iCs/>
          <w:color w:val="auto"/>
          <w:sz w:val="18"/>
          <w:szCs w:val="18"/>
          <w:highlight w:val="none"/>
          <w:lang w:val="sl-SI"/>
        </w:rPr>
        <w:t>24)</w:t>
      </w:r>
    </w:p>
    <w:p w14:paraId="7228E7E0">
      <w:pPr>
        <w:rPr>
          <w:rFonts w:hint="default"/>
          <w:lang w:val="sl-SI"/>
        </w:rPr>
      </w:pPr>
    </w:p>
    <w:p w14:paraId="192ABE7D">
      <w:pPr>
        <w:rPr>
          <w:rFonts w:hint="default" w:ascii="Arial Narrow" w:hAnsi="Arial Narrow" w:cs="Arial Narrow"/>
          <w:b/>
          <w:bCs/>
          <w:color w:val="auto"/>
          <w:sz w:val="28"/>
          <w:szCs w:val="28"/>
          <w:highlight w:val="none"/>
        </w:rPr>
      </w:pPr>
      <w:r>
        <w:rPr>
          <w:rFonts w:hint="default" w:ascii="Arial Narrow" w:hAnsi="Arial Narrow" w:cs="Arial Narrow"/>
          <w:b/>
          <w:bCs/>
          <w:color w:val="auto"/>
          <w:sz w:val="28"/>
          <w:szCs w:val="28"/>
          <w:highlight w:val="none"/>
        </w:rPr>
        <w:br w:type="page"/>
      </w:r>
    </w:p>
    <w:p w14:paraId="6B3A38BD">
      <w:pPr>
        <w:rPr>
          <w:rFonts w:hint="default" w:ascii="Arial Narrow" w:hAnsi="Arial Narrow" w:cs="Arial Narrow"/>
          <w:b/>
          <w:bCs/>
          <w:color w:val="auto"/>
          <w:sz w:val="28"/>
          <w:szCs w:val="28"/>
          <w:highlight w:val="none"/>
        </w:rPr>
      </w:pPr>
      <w:r>
        <w:rPr>
          <w:rFonts w:hint="default" w:ascii="Arial Narrow" w:hAnsi="Arial Narrow" w:cs="Arial Narrow"/>
          <w:b/>
          <w:bCs/>
          <w:color w:val="auto"/>
          <w:sz w:val="28"/>
          <w:szCs w:val="28"/>
          <w:highlight w:val="none"/>
        </w:rPr>
        <w:t>5_</w:t>
      </w:r>
      <w:r>
        <w:rPr>
          <w:rFonts w:hint="default" w:ascii="Arial Narrow" w:hAnsi="Arial Narrow" w:cs="Arial Narrow"/>
          <w:color w:val="auto"/>
          <w:highlight w:val="none"/>
        </w:rPr>
        <w:t xml:space="preserve"> </w:t>
      </w:r>
      <w:r>
        <w:rPr>
          <w:rFonts w:hint="default" w:ascii="Arial Narrow" w:hAnsi="Arial Narrow" w:cs="Arial Narrow"/>
          <w:b/>
          <w:bCs/>
          <w:color w:val="auto"/>
          <w:sz w:val="28"/>
          <w:szCs w:val="28"/>
          <w:highlight w:val="none"/>
        </w:rPr>
        <w:t>USMERITVE ZA URBANISTIČNO, ARHITEKTURNO, KRAJINSKOARHITEKTURNO, PROGRAMSKO IN DRUGO ZASNOVO</w:t>
      </w:r>
    </w:p>
    <w:p w14:paraId="5FC6FFB1">
      <w:pPr>
        <w:ind w:left="-3" w:firstLine="3"/>
        <w:rPr>
          <w:rFonts w:hint="default" w:ascii="Arial Narrow" w:hAnsi="Arial Narrow" w:cs="Arial Narrow"/>
          <w:color w:val="auto"/>
          <w:sz w:val="22"/>
          <w:szCs w:val="22"/>
          <w:highlight w:val="none"/>
        </w:rPr>
      </w:pPr>
    </w:p>
    <w:p w14:paraId="2C8BAAC7">
      <w:pPr>
        <w:rPr>
          <w:rFonts w:hint="default" w:ascii="Arial Narrow" w:hAnsi="Arial Narrow" w:cs="Arial Narrow"/>
          <w:b/>
          <w:bCs/>
          <w:color w:val="auto"/>
          <w:sz w:val="22"/>
          <w:szCs w:val="22"/>
          <w:highlight w:val="none"/>
        </w:rPr>
      </w:pPr>
      <w:r>
        <w:rPr>
          <w:rFonts w:hint="default" w:ascii="Arial Narrow" w:hAnsi="Arial Narrow" w:cs="Arial Narrow"/>
          <w:b/>
          <w:bCs/>
          <w:color w:val="auto"/>
          <w:sz w:val="22"/>
          <w:szCs w:val="22"/>
          <w:highlight w:val="none"/>
        </w:rPr>
        <w:t>NATEČAJNA IZHODIŠČA</w:t>
      </w:r>
    </w:p>
    <w:p w14:paraId="786078F4">
      <w:pPr>
        <w:ind w:left="-3" w:firstLine="3"/>
        <w:rPr>
          <w:rFonts w:hint="default" w:ascii="Arial Narrow" w:hAnsi="Arial Narrow" w:cs="Arial Narrow"/>
          <w:color w:val="auto"/>
          <w:sz w:val="22"/>
          <w:szCs w:val="22"/>
          <w:highlight w:val="none"/>
        </w:rPr>
      </w:pPr>
    </w:p>
    <w:p w14:paraId="27130B93">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eastAsia="Times New Roman" w:cs="Arial Narrow"/>
          <w:i w:val="0"/>
          <w:iCs w:val="0"/>
          <w:caps w:val="0"/>
          <w:color w:val="222222"/>
          <w:spacing w:val="0"/>
          <w:kern w:val="0"/>
          <w:sz w:val="22"/>
          <w:szCs w:val="22"/>
          <w:shd w:val="clear" w:fill="FFFFFF"/>
          <w:lang w:val="en-US" w:eastAsia="zh-CN" w:bidi="ar"/>
        </w:rPr>
        <w:t>Programsko je objekt namenjen</w:t>
      </w:r>
      <w:r>
        <w:rPr>
          <w:rFonts w:hint="default" w:ascii="Arial Narrow" w:hAnsi="Arial Narrow" w:cs="Arial Narrow"/>
          <w:i w:val="0"/>
          <w:iCs w:val="0"/>
          <w:caps w:val="0"/>
          <w:color w:val="222222"/>
          <w:spacing w:val="0"/>
          <w:kern w:val="0"/>
          <w:sz w:val="22"/>
          <w:szCs w:val="22"/>
          <w:shd w:val="clear" w:fill="FFFFFF"/>
          <w:lang w:val="sl-SI" w:eastAsia="zh-CN" w:bidi="ar"/>
        </w:rPr>
        <w:t xml:space="preserve"> novogradnji objekta osnovne šole in njegovi navezavi na obstoječo športno dvorano na zahodni strani zemljišča, namenjenega za gradnjo.  </w:t>
      </w:r>
    </w:p>
    <w:p w14:paraId="1B6921DB">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p>
    <w:p w14:paraId="498EEA12">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 xml:space="preserve">Glede na zahtevnost lokacije so bile najprej preverjene zahteve po novogradnji na obsežnejši parceli na južni strani zemljišč, ki so osnova za razpis tega natečaja. Ker parcel na južni strani ni bilo možno gospodarno pridobiti, je predmet tega natečaja zasnova novogradnje na parcelah, ki so že v lasti Občine Ormož. Preveritveni projekt na parcelah južno od obravnavanega območja je v prilogah D te natečajne naloge. </w:t>
      </w:r>
    </w:p>
    <w:p w14:paraId="1606B2AA">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 xml:space="preserve"> </w:t>
      </w:r>
    </w:p>
    <w:p w14:paraId="58BF1C81">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Podrobna natečajna izhodišča iz funkcionalnega vidika se nanašajo na veljavne standarde iz pravilnika o gradnji šolskih objektov, prevere statističnih potreb po prostorih v naslednjih letih, potrjenih prostorskih standardih za šolske objekte in drugih zahtev, ki jih spremljata Občina Ormož in Ministrstvo za vzgojo in izobraževanje RS. Navodila za načrtovanje šolskih objektov so v prilogah D te natečajne naloge.</w:t>
      </w:r>
    </w:p>
    <w:p w14:paraId="31D4FD5E">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cs="Arial Narrow"/>
          <w:i w:val="0"/>
          <w:iCs w:val="0"/>
          <w:caps w:val="0"/>
          <w:color w:val="222222"/>
          <w:spacing w:val="0"/>
          <w:kern w:val="0"/>
          <w:sz w:val="22"/>
          <w:szCs w:val="22"/>
          <w:shd w:val="clear" w:fill="FFFFFF"/>
          <w:lang w:val="sl-SI" w:eastAsia="zh-CN" w:bidi="ar"/>
        </w:rPr>
        <w:t>Podrobna natečajna izhodišča iz urbanističnega vidika niso izoblikovana v nobenem prostorskem aktu ali strokovnih podlagah: območje je s svojo specifiko razmeroma ohlapno izoblikovano že dalj časa in v času priprave pričujoče natečajne naloge ni izoblikovanih omejitev, ki bi npr. obvezovala natečajnike k spoštovanju gradbene linije ali podobnega - urbanistične odločitve oblikovanja volumna so prepuščene natečajnikom.</w:t>
      </w:r>
    </w:p>
    <w:p w14:paraId="14100150">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p>
    <w:p w14:paraId="07797571">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r>
        <w:rPr>
          <w:rFonts w:hint="default" w:ascii="Arial Narrow" w:hAnsi="Arial Narrow" w:eastAsia="Times New Roman" w:cs="Arial Narrow"/>
          <w:i w:val="0"/>
          <w:iCs w:val="0"/>
          <w:caps w:val="0"/>
          <w:color w:val="222222"/>
          <w:spacing w:val="0"/>
          <w:kern w:val="0"/>
          <w:sz w:val="22"/>
          <w:szCs w:val="22"/>
          <w:shd w:val="clear" w:fill="FFFFFF"/>
          <w:lang w:val="en-US" w:eastAsia="zh-CN" w:bidi="ar"/>
        </w:rPr>
        <w:t xml:space="preserve">Konceptualno </w:t>
      </w:r>
      <w:r>
        <w:rPr>
          <w:rFonts w:hint="default" w:ascii="Arial Narrow" w:hAnsi="Arial Narrow" w:cs="Arial Narrow"/>
          <w:i w:val="0"/>
          <w:iCs w:val="0"/>
          <w:caps w:val="0"/>
          <w:color w:val="222222"/>
          <w:spacing w:val="0"/>
          <w:kern w:val="0"/>
          <w:sz w:val="22"/>
          <w:szCs w:val="22"/>
          <w:shd w:val="clear" w:fill="FFFFFF"/>
          <w:lang w:val="sl-SI" w:eastAsia="zh-CN" w:bidi="ar"/>
        </w:rPr>
        <w:t>je novogradnja zasnovana kot eden objekt šolskega programa. Za naročnika je pomembno zgolj, da bo predlagana novogradnja uspešno izpolnjevala zahteve funkcionalne povezanosti, racionalnosti gradnje in uporabe, arhitekturne odličnosti v smislu dialoga med obstoječimi stavbami in novogradnjo in nenazadnje urbanistično gesto, ki bo ustrezno izoblikovala enega od pomembnih urbanih robov naselja.</w:t>
      </w:r>
    </w:p>
    <w:p w14:paraId="1F2AFEFC">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p>
    <w:p w14:paraId="2E96D07B">
      <w:pPr>
        <w:pStyle w:val="17"/>
        <w:numPr>
          <w:ilvl w:val="0"/>
          <w:numId w:val="0"/>
        </w:numPr>
        <w:spacing w:line="276" w:lineRule="auto"/>
        <w:ind w:leftChars="0"/>
        <w:rPr>
          <w:rFonts w:hint="default" w:ascii="Arial Narrow" w:hAnsi="Arial Narrow" w:eastAsia="Times New Roman" w:cs="Arial Narrow"/>
          <w:i w:val="0"/>
          <w:iCs w:val="0"/>
          <w:caps w:val="0"/>
          <w:color w:val="222222"/>
          <w:spacing w:val="0"/>
          <w:kern w:val="0"/>
          <w:sz w:val="22"/>
          <w:szCs w:val="22"/>
          <w:shd w:val="clear" w:fill="FFFFFF"/>
          <w:lang w:val="en-US" w:eastAsia="zh-CN" w:bidi="ar"/>
        </w:rPr>
      </w:pPr>
      <w:r>
        <w:drawing>
          <wp:inline distT="0" distB="0" distL="114300" distR="114300">
            <wp:extent cx="5000625" cy="3926840"/>
            <wp:effectExtent l="0" t="0" r="9525" b="1651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1"/>
                    <pic:cNvPicPr>
                      <a:picLocks noChangeAspect="1"/>
                    </pic:cNvPicPr>
                  </pic:nvPicPr>
                  <pic:blipFill>
                    <a:blip r:embed="rId23"/>
                    <a:stretch>
                      <a:fillRect/>
                    </a:stretch>
                  </pic:blipFill>
                  <pic:spPr>
                    <a:xfrm>
                      <a:off x="0" y="0"/>
                      <a:ext cx="5000625" cy="3926840"/>
                    </a:xfrm>
                    <a:prstGeom prst="rect">
                      <a:avLst/>
                    </a:prstGeom>
                    <a:noFill/>
                    <a:ln>
                      <a:noFill/>
                    </a:ln>
                  </pic:spPr>
                </pic:pic>
              </a:graphicData>
            </a:graphic>
          </wp:inline>
        </w:drawing>
      </w:r>
    </w:p>
    <w:p w14:paraId="7E2B139D">
      <w:pPr>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14</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Tabela iz Navodila za graditev osnovnih šol (MŠ RS 2007), izračun potrebnega števila učilnic</w:t>
      </w:r>
    </w:p>
    <w:p w14:paraId="5B29FFE8">
      <w:pPr>
        <w:pStyle w:val="17"/>
        <w:spacing w:line="276" w:lineRule="auto"/>
        <w:rPr>
          <w:rFonts w:hint="default" w:ascii="Arial Narrow" w:hAnsi="Arial Narrow" w:cs="Arial Narrow"/>
          <w:b/>
          <w:bCs/>
          <w:color w:val="auto"/>
          <w:highlight w:val="none"/>
          <w:lang w:val="sl-SI"/>
        </w:rPr>
      </w:pPr>
    </w:p>
    <w:p w14:paraId="46344252">
      <w:pPr>
        <w:rPr>
          <w:rFonts w:hint="default" w:ascii="Arial Narrow" w:hAnsi="Arial Narrow" w:cs="Arial Narrow"/>
          <w:b/>
          <w:bCs/>
          <w:color w:val="auto"/>
          <w:sz w:val="22"/>
          <w:szCs w:val="22"/>
          <w:highlight w:val="none"/>
          <w:lang w:val="sl-SI"/>
        </w:rPr>
      </w:pPr>
      <w:r>
        <w:rPr>
          <w:rFonts w:hint="default" w:ascii="Arial Narrow" w:hAnsi="Arial Narrow" w:cs="Arial Narrow"/>
          <w:b/>
          <w:bCs/>
          <w:color w:val="auto"/>
          <w:sz w:val="22"/>
          <w:szCs w:val="22"/>
          <w:highlight w:val="none"/>
          <w:lang w:val="sl-SI"/>
        </w:rPr>
        <w:t>SMERNICE ZA ZASNOVO OBJEKTA</w:t>
      </w:r>
    </w:p>
    <w:p w14:paraId="20F3BFE0">
      <w:pPr>
        <w:rPr>
          <w:rFonts w:hint="default" w:ascii="Arial Narrow" w:hAnsi="Arial Narrow" w:cs="Arial Narrow"/>
          <w:b w:val="0"/>
          <w:bCs w:val="0"/>
          <w:color w:val="auto"/>
          <w:sz w:val="22"/>
          <w:szCs w:val="22"/>
          <w:highlight w:val="none"/>
          <w:lang w:val="sl-SI"/>
        </w:rPr>
      </w:pPr>
    </w:p>
    <w:p w14:paraId="257CF9B1">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 xml:space="preserve">V glavnem so splošne smernice za gradnjo objekta osnovne šole z 18 oddelki ustrezno opredeljene v Navodilu za graditev osnovnih šol v RS, prostorskih aktih in dobrim primerom strokovne prakse gradnje osnovnih šol v Republiki Sloveniji. </w:t>
      </w:r>
    </w:p>
    <w:p w14:paraId="4293B1EC">
      <w:pPr>
        <w:rPr>
          <w:rFonts w:hint="default" w:ascii="Arial Narrow" w:hAnsi="Arial Narrow" w:cs="Arial Narrow"/>
          <w:b w:val="0"/>
          <w:bCs w:val="0"/>
          <w:color w:val="auto"/>
          <w:sz w:val="22"/>
          <w:szCs w:val="22"/>
          <w:highlight w:val="none"/>
          <w:lang w:val="sl-SI"/>
        </w:rPr>
      </w:pPr>
    </w:p>
    <w:p w14:paraId="1855F091">
      <w:pPr>
        <w:rPr>
          <w:rFonts w:hint="default" w:ascii="Arial Narrow" w:hAnsi="Arial Narrow" w:cs="Arial Narrow"/>
          <w:b/>
          <w:bCs/>
          <w:color w:val="auto"/>
          <w:sz w:val="22"/>
          <w:szCs w:val="22"/>
          <w:highlight w:val="none"/>
          <w:lang w:val="sl-SI"/>
        </w:rPr>
      </w:pPr>
      <w:r>
        <w:rPr>
          <w:rFonts w:hint="default" w:ascii="Arial Narrow" w:hAnsi="Arial Narrow" w:cs="Arial Narrow"/>
          <w:b/>
          <w:bCs/>
          <w:color w:val="auto"/>
          <w:sz w:val="22"/>
          <w:szCs w:val="22"/>
          <w:highlight w:val="none"/>
          <w:lang w:val="sl-SI"/>
        </w:rPr>
        <w:t>Kapaciteta objekta</w:t>
      </w:r>
    </w:p>
    <w:p w14:paraId="24220242">
      <w:pPr>
        <w:rPr>
          <w:rFonts w:hint="default" w:ascii="Arial Narrow" w:hAnsi="Arial Narrow" w:cs="Arial Narrow"/>
          <w:b w:val="0"/>
          <w:bCs w:val="0"/>
          <w:color w:val="auto"/>
          <w:sz w:val="22"/>
          <w:szCs w:val="22"/>
          <w:highlight w:val="none"/>
          <w:lang w:val="sl-SI"/>
        </w:rPr>
      </w:pPr>
    </w:p>
    <w:p w14:paraId="1C968769">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 xml:space="preserve">Spoštovati je potrebno naslednje projektne zahteve: prikazane so šolske površine brez športnih površin. Natečajna rešitev mora vsebovati zagotavljanje potrebnih šolskih površin v novem objektu za 18 oddelčno osnovno šolo.  </w:t>
      </w:r>
    </w:p>
    <w:p w14:paraId="606DEA32">
      <w:pPr>
        <w:rPr>
          <w:rFonts w:hint="default" w:ascii="Arial Narrow" w:hAnsi="Arial Narrow" w:cs="Arial Narrow"/>
          <w:i/>
          <w:iCs/>
          <w:color w:val="auto"/>
          <w:sz w:val="18"/>
          <w:szCs w:val="18"/>
          <w:highlight w:val="none"/>
          <w:lang w:val="sl-SI"/>
        </w:rPr>
      </w:pPr>
    </w:p>
    <w:p w14:paraId="6992BAA2">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Predmet natečaja je zagotoviti objekt šolskih površin in (suh in ogrevan) dostop do obstoječe športne dvorane na zahodni strani zemljišča za novogradnjo. Hkrati morajo natečajniki zasnovati urejena zunanja športna igrišča na razpoložljivih površinah.</w:t>
      </w:r>
    </w:p>
    <w:p w14:paraId="607C6D90">
      <w:pPr>
        <w:rPr>
          <w:rFonts w:hint="default" w:ascii="Arial Narrow" w:hAnsi="Arial Narrow" w:cs="Arial Narrow"/>
          <w:b/>
          <w:bCs/>
          <w:color w:val="auto"/>
          <w:sz w:val="22"/>
          <w:szCs w:val="22"/>
          <w:highlight w:val="none"/>
          <w:lang w:val="sl-SI"/>
        </w:rPr>
      </w:pPr>
    </w:p>
    <w:p w14:paraId="3F0B928B">
      <w:pPr>
        <w:rPr>
          <w:rFonts w:hint="default" w:ascii="Arial Narrow" w:hAnsi="Arial Narrow" w:cs="Arial Narrow"/>
          <w:b/>
          <w:bCs/>
          <w:color w:val="auto"/>
          <w:sz w:val="22"/>
          <w:szCs w:val="22"/>
          <w:highlight w:val="none"/>
          <w:lang w:val="sl-SI"/>
        </w:rPr>
      </w:pPr>
      <w:r>
        <w:rPr>
          <w:rFonts w:hint="default" w:ascii="Arial Narrow" w:hAnsi="Arial Narrow" w:cs="Arial Narrow"/>
          <w:b/>
          <w:bCs/>
          <w:color w:val="auto"/>
          <w:sz w:val="22"/>
          <w:szCs w:val="22"/>
          <w:highlight w:val="none"/>
          <w:lang w:val="sl-SI"/>
        </w:rPr>
        <w:t>Glede na zgoraj navedene zahteve, ki jih mora izpolnjevati zaključena celota obstoječega in novega objekta, je prikazana površina novogradnje:</w:t>
      </w:r>
    </w:p>
    <w:p w14:paraId="570579F0">
      <w:pPr>
        <w:rPr>
          <w:rFonts w:hint="default" w:ascii="Arial Narrow" w:hAnsi="Arial Narrow" w:cs="Arial Narrow"/>
          <w:i/>
          <w:iCs/>
          <w:color w:val="auto"/>
          <w:sz w:val="18"/>
          <w:szCs w:val="18"/>
          <w:highlight w:val="none"/>
          <w:lang w:val="sl-SI"/>
        </w:rPr>
      </w:pPr>
    </w:p>
    <w:p w14:paraId="316BFC93">
      <w:pPr>
        <w:rPr>
          <w:rFonts w:hint="default" w:ascii="Arial Narrow" w:hAnsi="Arial Narrow" w:cs="Arial Narrow"/>
          <w:i/>
          <w:iCs/>
          <w:color w:val="auto"/>
          <w:sz w:val="18"/>
          <w:szCs w:val="18"/>
          <w:highlight w:val="none"/>
          <w:lang w:val="sl-SI"/>
        </w:rPr>
      </w:pPr>
      <w:r>
        <w:drawing>
          <wp:inline distT="0" distB="0" distL="114300" distR="114300">
            <wp:extent cx="5965190" cy="5062220"/>
            <wp:effectExtent l="0" t="0" r="16510" b="5080"/>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2"/>
                    <pic:cNvPicPr>
                      <a:picLocks noChangeAspect="1"/>
                    </pic:cNvPicPr>
                  </pic:nvPicPr>
                  <pic:blipFill>
                    <a:blip r:embed="rId24"/>
                    <a:stretch>
                      <a:fillRect/>
                    </a:stretch>
                  </pic:blipFill>
                  <pic:spPr>
                    <a:xfrm>
                      <a:off x="0" y="0"/>
                      <a:ext cx="5965190" cy="5062220"/>
                    </a:xfrm>
                    <a:prstGeom prst="rect">
                      <a:avLst/>
                    </a:prstGeom>
                    <a:noFill/>
                    <a:ln>
                      <a:noFill/>
                    </a:ln>
                  </pic:spPr>
                </pic:pic>
              </a:graphicData>
            </a:graphic>
          </wp:inline>
        </w:drawing>
      </w:r>
    </w:p>
    <w:p w14:paraId="619475CE">
      <w:pPr>
        <w:pStyle w:val="17"/>
        <w:spacing w:line="276" w:lineRule="auto"/>
        <w:rPr>
          <w:rFonts w:hint="default" w:ascii="Arial Narrow" w:hAnsi="Arial Narrow" w:cs="Arial Narrow"/>
          <w:b/>
          <w:bCs/>
          <w:color w:val="auto"/>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15</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Tabela iz Navodila za graditev osnovnih šol (MŠ RS 2007), določitev površine objekta</w:t>
      </w:r>
    </w:p>
    <w:p w14:paraId="0B598B36">
      <w:pPr>
        <w:keepNext w:val="0"/>
        <w:keepLines w:val="0"/>
        <w:widowControl/>
        <w:suppressLineNumbers w:val="0"/>
        <w:shd w:val="clear" w:fill="FFFFFF"/>
        <w:spacing w:before="0" w:beforeAutospacing="0" w:after="0" w:afterAutospacing="0"/>
        <w:ind w:left="0" w:right="0" w:firstLine="0"/>
        <w:jc w:val="left"/>
        <w:rPr>
          <w:rFonts w:hint="default" w:ascii="Arial Narrow" w:hAnsi="Arial Narrow" w:cs="Arial Narrow"/>
          <w:i w:val="0"/>
          <w:iCs w:val="0"/>
          <w:caps w:val="0"/>
          <w:color w:val="222222"/>
          <w:spacing w:val="0"/>
          <w:kern w:val="0"/>
          <w:sz w:val="22"/>
          <w:szCs w:val="22"/>
          <w:shd w:val="clear" w:fill="FFFFFF"/>
          <w:lang w:val="sl-SI" w:eastAsia="zh-CN" w:bidi="ar"/>
        </w:rPr>
      </w:pPr>
    </w:p>
    <w:p w14:paraId="469D1245">
      <w:pPr>
        <w:rPr>
          <w:rFonts w:hint="default" w:ascii="Arial Narrow" w:hAnsi="Arial Narrow" w:cs="Arial Narrow"/>
          <w:b w:val="0"/>
          <w:bCs w:val="0"/>
          <w:color w:val="auto"/>
          <w:sz w:val="22"/>
          <w:szCs w:val="22"/>
          <w:highlight w:val="none"/>
          <w:lang w:val="sl-SI"/>
        </w:rPr>
      </w:pPr>
    </w:p>
    <w:p w14:paraId="141BB473">
      <w:pPr>
        <w:rPr>
          <w:rFonts w:hint="default" w:ascii="Arial Narrow" w:hAnsi="Arial Narrow" w:cs="Arial Narrow"/>
          <w:b w:val="0"/>
          <w:bCs w:val="0"/>
          <w:color w:val="auto"/>
          <w:sz w:val="22"/>
          <w:szCs w:val="22"/>
          <w:highlight w:val="none"/>
          <w:lang w:val="sl-SI"/>
        </w:rPr>
      </w:pPr>
    </w:p>
    <w:p w14:paraId="08540F64">
      <w:pPr>
        <w:rPr>
          <w:rFonts w:hint="default" w:ascii="Arial Narrow" w:hAnsi="Arial Narrow" w:cs="Arial Narrow"/>
          <w:b w:val="0"/>
          <w:bCs w:val="0"/>
          <w:color w:val="auto"/>
          <w:sz w:val="22"/>
          <w:szCs w:val="22"/>
          <w:highlight w:val="none"/>
          <w:lang w:val="sl-SI"/>
        </w:rPr>
      </w:pPr>
    </w:p>
    <w:p w14:paraId="07034444">
      <w:pPr>
        <w:rPr>
          <w:rFonts w:hint="default" w:ascii="Arial Narrow" w:hAnsi="Arial Narrow" w:cs="Arial Narrow"/>
          <w:b/>
          <w:bCs/>
          <w:color w:val="auto"/>
          <w:sz w:val="22"/>
          <w:szCs w:val="22"/>
          <w:highlight w:val="none"/>
          <w:lang w:val="sl-SI"/>
        </w:rPr>
      </w:pPr>
    </w:p>
    <w:p w14:paraId="0EF103A0">
      <w:pPr>
        <w:rPr>
          <w:rFonts w:hint="default" w:ascii="Arial Narrow" w:hAnsi="Arial Narrow" w:cs="Arial Narrow"/>
          <w:b/>
          <w:bCs/>
          <w:color w:val="auto"/>
          <w:sz w:val="22"/>
          <w:szCs w:val="22"/>
          <w:highlight w:val="none"/>
          <w:lang w:val="sl-SI"/>
        </w:rPr>
      </w:pPr>
      <w:r>
        <w:rPr>
          <w:rFonts w:hint="default" w:ascii="Arial Narrow" w:hAnsi="Arial Narrow" w:cs="Arial Narrow"/>
          <w:b/>
          <w:bCs/>
          <w:color w:val="auto"/>
          <w:sz w:val="22"/>
          <w:szCs w:val="22"/>
          <w:highlight w:val="none"/>
          <w:lang w:val="sl-SI"/>
        </w:rPr>
        <w:t>Programske zahteve</w:t>
      </w:r>
    </w:p>
    <w:p w14:paraId="56212460">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 xml:space="preserve">Programske zahteve izhajajo iz pravilnika za gradnjo šolskih objektov v RS, prav tako razmerja med površinami A (površine za pouk), B (spremljajoče površine) in C (komunikacije). </w:t>
      </w:r>
    </w:p>
    <w:p w14:paraId="2FBBD9A9">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 xml:space="preserve">Glede na visoko standardiziranost zahtev in pravil za gradnjo šolskih stavb in prostorov je potrebno upoštevati aktualno različico pravilnika. </w:t>
      </w:r>
    </w:p>
    <w:p w14:paraId="7175B618">
      <w:pPr>
        <w:rPr>
          <w:rFonts w:hint="default" w:ascii="Arial Narrow" w:hAnsi="Arial Narrow" w:cs="Arial Narrow"/>
          <w:b w:val="0"/>
          <w:bCs w:val="0"/>
          <w:color w:val="auto"/>
          <w:sz w:val="22"/>
          <w:szCs w:val="22"/>
          <w:highlight w:val="none"/>
          <w:lang w:val="sl-SI"/>
        </w:rPr>
      </w:pPr>
    </w:p>
    <w:p w14:paraId="738FA65D">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Posebno pozornost je potrebno posvetiti čimbolj elegantni in nekonfliktni navezavi predlaganih novogradenj na obstoječi objekt športne dvorane. Nov kompleks naj deluje kot funkcionalno enovit in skladen, a sodoben arhitekturni konglomerat novega in starega.</w:t>
      </w:r>
    </w:p>
    <w:p w14:paraId="75F7FB41">
      <w:pPr>
        <w:rPr>
          <w:rFonts w:hint="default" w:ascii="Arial Narrow" w:hAnsi="Arial Narrow" w:cs="Arial Narrow"/>
          <w:b w:val="0"/>
          <w:bCs w:val="0"/>
          <w:color w:val="auto"/>
          <w:sz w:val="22"/>
          <w:szCs w:val="22"/>
          <w:highlight w:val="none"/>
          <w:lang w:val="sl-SI"/>
        </w:rPr>
      </w:pPr>
    </w:p>
    <w:p w14:paraId="3343EE15">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Hkrati je potrebno na razpoložljivih zunanjih površinah zagotoviti tudi dostope, dovoze in nove zunanje športne površine. Pri novih športnih površinah je potrebno upoštevati preoblikovanje obstoječega igrišča in dodajanje predvidenih normiranih površin.</w:t>
      </w:r>
    </w:p>
    <w:p w14:paraId="6BA8C0C7">
      <w:pPr>
        <w:rPr>
          <w:rFonts w:hint="default" w:ascii="Arial Narrow" w:hAnsi="Arial Narrow" w:cs="Arial Narrow"/>
          <w:b w:val="0"/>
          <w:bCs w:val="0"/>
          <w:color w:val="auto"/>
          <w:sz w:val="22"/>
          <w:szCs w:val="22"/>
          <w:highlight w:val="none"/>
          <w:lang w:val="sl-SI"/>
        </w:rPr>
      </w:pPr>
    </w:p>
    <w:p w14:paraId="5A2B15D9">
      <w:r>
        <w:drawing>
          <wp:inline distT="0" distB="0" distL="114300" distR="114300">
            <wp:extent cx="3688080" cy="2224405"/>
            <wp:effectExtent l="0" t="0" r="7620" b="4445"/>
            <wp:docPr id="8"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 3"/>
                    <pic:cNvPicPr>
                      <a:picLocks noChangeAspect="1"/>
                    </pic:cNvPicPr>
                  </pic:nvPicPr>
                  <pic:blipFill>
                    <a:blip r:embed="rId25"/>
                    <a:stretch>
                      <a:fillRect/>
                    </a:stretch>
                  </pic:blipFill>
                  <pic:spPr>
                    <a:xfrm>
                      <a:off x="0" y="0"/>
                      <a:ext cx="3688080" cy="2224405"/>
                    </a:xfrm>
                    <a:prstGeom prst="rect">
                      <a:avLst/>
                    </a:prstGeom>
                    <a:noFill/>
                    <a:ln>
                      <a:noFill/>
                    </a:ln>
                  </pic:spPr>
                </pic:pic>
              </a:graphicData>
            </a:graphic>
          </wp:inline>
        </w:drawing>
      </w:r>
    </w:p>
    <w:p w14:paraId="3E867FFD">
      <w:pPr>
        <w:pStyle w:val="17"/>
        <w:spacing w:line="276" w:lineRule="auto"/>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16</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Tabela iz Navodila za graditev osnovnih šol (MŠ RS 2007), značilnosti nepokritih športnih površin</w:t>
      </w:r>
    </w:p>
    <w:p w14:paraId="60F52F18">
      <w:pPr>
        <w:pStyle w:val="17"/>
        <w:spacing w:line="276" w:lineRule="auto"/>
        <w:rPr>
          <w:rFonts w:hint="default" w:ascii="Arial Narrow" w:hAnsi="Arial Narrow" w:cs="Arial Narrow"/>
          <w:i/>
          <w:iCs/>
          <w:color w:val="auto"/>
          <w:sz w:val="18"/>
          <w:szCs w:val="18"/>
          <w:highlight w:val="none"/>
          <w:lang w:val="sl-SI"/>
        </w:rPr>
      </w:pPr>
    </w:p>
    <w:p w14:paraId="2FEEFAD7">
      <w:pPr>
        <w:pStyle w:val="17"/>
        <w:spacing w:line="276" w:lineRule="auto"/>
        <w:rPr>
          <w:rFonts w:hint="default" w:ascii="Arial Narrow" w:hAnsi="Arial Narrow" w:cs="Arial Narrow"/>
          <w:i/>
          <w:iCs/>
          <w:color w:val="auto"/>
          <w:sz w:val="18"/>
          <w:szCs w:val="18"/>
          <w:highlight w:val="none"/>
          <w:lang w:val="sl-SI"/>
        </w:rPr>
      </w:pPr>
      <w:r>
        <w:rPr>
          <w:sz w:val="22"/>
        </w:rPr>
        <mc:AlternateContent>
          <mc:Choice Requires="wps">
            <w:drawing>
              <wp:anchor distT="0" distB="0" distL="114300" distR="114300" simplePos="0" relativeHeight="251659264" behindDoc="0" locked="0" layoutInCell="1" allowOverlap="1">
                <wp:simplePos x="0" y="0"/>
                <wp:positionH relativeFrom="column">
                  <wp:posOffset>-38735</wp:posOffset>
                </wp:positionH>
                <wp:positionV relativeFrom="paragraph">
                  <wp:posOffset>1190625</wp:posOffset>
                </wp:positionV>
                <wp:extent cx="3773805" cy="154305"/>
                <wp:effectExtent l="6350" t="6350" r="10795" b="10795"/>
                <wp:wrapNone/>
                <wp:docPr id="12" name="Rechteck 12"/>
                <wp:cNvGraphicFramePr/>
                <a:graphic xmlns:a="http://schemas.openxmlformats.org/drawingml/2006/main">
                  <a:graphicData uri="http://schemas.microsoft.com/office/word/2010/wordprocessingShape">
                    <wps:wsp>
                      <wps:cNvSpPr/>
                      <wps:spPr>
                        <a:xfrm>
                          <a:off x="786765" y="6816090"/>
                          <a:ext cx="3773805" cy="154305"/>
                        </a:xfrm>
                        <a:prstGeom prst="rect">
                          <a:avLst/>
                        </a:prstGeom>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5pt;margin-top:93.75pt;height:12.15pt;width:297.15pt;z-index:251659264;v-text-anchor:middle;mso-width-relative:page;mso-height-relative:page;" filled="f" stroked="t" coordsize="21600,21600" o:gfxdata="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4SmyYNoAAAAKAQAADwAAAAAAAAABACAAAAAiAAAAZHJzL2Rvd25y&#10;ZXYueG1sUEsBAhQAFAAAAAgAh07iQGHxF39uAgAA2gQAAA4AAAAAAAAAAQAgAAAAKQEAAGRycy9l&#10;Mm9Eb2MueG1sUEsFBgAAAAAGAAYAWQEAAAkGAAAAAA==&#10;">
                <v:fill on="f" focussize="0,0"/>
                <v:stroke weight="1pt" color="#5B9BD5 [3204]" miterlimit="8" joinstyle="miter"/>
                <v:imagedata o:title=""/>
                <o:lock v:ext="edit" aspectratio="f"/>
              </v:rect>
            </w:pict>
          </mc:Fallback>
        </mc:AlternateContent>
      </w:r>
      <w:r>
        <w:drawing>
          <wp:inline distT="0" distB="0" distL="114300" distR="114300">
            <wp:extent cx="3970020" cy="1747520"/>
            <wp:effectExtent l="0" t="0" r="11430" b="5080"/>
            <wp:docPr id="9"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 4"/>
                    <pic:cNvPicPr>
                      <a:picLocks noChangeAspect="1"/>
                    </pic:cNvPicPr>
                  </pic:nvPicPr>
                  <pic:blipFill>
                    <a:blip r:embed="rId26"/>
                    <a:stretch>
                      <a:fillRect/>
                    </a:stretch>
                  </pic:blipFill>
                  <pic:spPr>
                    <a:xfrm>
                      <a:off x="0" y="0"/>
                      <a:ext cx="3970020" cy="1747520"/>
                    </a:xfrm>
                    <a:prstGeom prst="rect">
                      <a:avLst/>
                    </a:prstGeom>
                    <a:noFill/>
                    <a:ln>
                      <a:noFill/>
                    </a:ln>
                  </pic:spPr>
                </pic:pic>
              </a:graphicData>
            </a:graphic>
          </wp:inline>
        </w:drawing>
      </w:r>
    </w:p>
    <w:p w14:paraId="107F94FF">
      <w:pPr>
        <w:pStyle w:val="17"/>
        <w:spacing w:line="276" w:lineRule="auto"/>
        <w:rPr>
          <w:rFonts w:hint="default" w:ascii="Arial Narrow" w:hAnsi="Arial Narrow" w:cs="Arial Narrow"/>
          <w:i/>
          <w:iCs/>
          <w:color w:val="auto"/>
          <w:sz w:val="18"/>
          <w:szCs w:val="18"/>
          <w:highlight w:val="none"/>
          <w:lang w:val="sl-SI"/>
        </w:rPr>
      </w:pPr>
      <w:r>
        <w:rPr>
          <w:rFonts w:hint="default" w:ascii="Arial Narrow" w:hAnsi="Arial Narrow" w:cs="Arial Narrow"/>
          <w:i/>
          <w:iCs/>
          <w:color w:val="auto"/>
          <w:sz w:val="18"/>
          <w:szCs w:val="18"/>
          <w:highlight w:val="none"/>
        </w:rPr>
        <w:t>Grafična priloga</w:t>
      </w:r>
      <w:r>
        <w:rPr>
          <w:rFonts w:hint="default" w:ascii="Arial Narrow" w:hAnsi="Arial Narrow" w:cs="Arial Narrow"/>
          <w:i/>
          <w:iCs/>
          <w:color w:val="auto"/>
          <w:sz w:val="18"/>
          <w:szCs w:val="18"/>
          <w:highlight w:val="none"/>
          <w:lang w:val="sl-SI"/>
        </w:rPr>
        <w:t xml:space="preserve"> 17</w:t>
      </w:r>
      <w:r>
        <w:rPr>
          <w:rFonts w:hint="default" w:ascii="Arial Narrow" w:hAnsi="Arial Narrow" w:cs="Arial Narrow"/>
          <w:i/>
          <w:iCs/>
          <w:color w:val="auto"/>
          <w:sz w:val="18"/>
          <w:szCs w:val="18"/>
          <w:highlight w:val="none"/>
        </w:rPr>
        <w:t xml:space="preserve">: </w:t>
      </w:r>
      <w:r>
        <w:rPr>
          <w:rFonts w:hint="default" w:ascii="Arial Narrow" w:hAnsi="Arial Narrow" w:cs="Arial Narrow"/>
          <w:i/>
          <w:iCs/>
          <w:color w:val="auto"/>
          <w:sz w:val="18"/>
          <w:szCs w:val="18"/>
          <w:highlight w:val="none"/>
          <w:lang w:val="sl-SI"/>
        </w:rPr>
        <w:t>Tabela iz Navodila za graditev osnovnih šol (MŠ RS 2007), prikaz razmerij nepokritih športnih površin v odnosu na velikost, označena vrstica opredeljuje osnovno šolo z 18 oddelki.</w:t>
      </w:r>
    </w:p>
    <w:p w14:paraId="506E5422">
      <w:pPr>
        <w:rPr>
          <w:rFonts w:hint="default" w:ascii="Arial Narrow" w:hAnsi="Arial Narrow" w:cs="Arial Narrow"/>
          <w:b w:val="0"/>
          <w:bCs w:val="0"/>
          <w:color w:val="auto"/>
          <w:sz w:val="22"/>
          <w:szCs w:val="22"/>
          <w:highlight w:val="none"/>
          <w:lang w:val="sl-SI"/>
        </w:rPr>
      </w:pPr>
    </w:p>
    <w:p w14:paraId="108528CA">
      <w:pPr>
        <w:rPr>
          <w:rFonts w:hint="default" w:ascii="Arial Narrow" w:hAnsi="Arial Narrow" w:cs="Arial Narrow"/>
          <w:b w:val="0"/>
          <w:bCs w:val="0"/>
          <w:color w:val="auto"/>
          <w:sz w:val="22"/>
          <w:szCs w:val="22"/>
          <w:highlight w:val="none"/>
          <w:lang w:val="sl-SI"/>
        </w:rPr>
      </w:pPr>
    </w:p>
    <w:p w14:paraId="0CDD1203">
      <w:pPr>
        <w:rPr>
          <w:rFonts w:hint="default" w:ascii="Arial Narrow" w:hAnsi="Arial Narrow" w:cs="Arial Narrow"/>
          <w:b w:val="0"/>
          <w:bCs w:val="0"/>
          <w:color w:val="auto"/>
          <w:sz w:val="22"/>
          <w:szCs w:val="22"/>
          <w:highlight w:val="none"/>
          <w:lang w:val="sl-SI"/>
        </w:rPr>
      </w:pPr>
      <w:r>
        <w:rPr>
          <w:rFonts w:hint="default" w:ascii="Arial Narrow" w:hAnsi="Arial Narrow" w:cs="Arial Narrow"/>
          <w:b/>
          <w:bCs/>
          <w:color w:val="auto"/>
          <w:sz w:val="22"/>
          <w:szCs w:val="22"/>
          <w:highlight w:val="none"/>
          <w:lang w:val="sl-SI"/>
        </w:rPr>
        <w:t>URBANISTIČNO OBLIKOVALSKE USMERITVE</w:t>
      </w:r>
    </w:p>
    <w:p w14:paraId="16BDCE1E">
      <w:pPr>
        <w:rPr>
          <w:rFonts w:hint="default" w:ascii="Arial Narrow" w:hAnsi="Arial Narrow" w:cs="Arial Narrow"/>
          <w:b/>
          <w:bCs/>
          <w:color w:val="auto"/>
          <w:sz w:val="22"/>
          <w:szCs w:val="22"/>
          <w:highlight w:val="none"/>
          <w:lang w:val="sl-SI"/>
        </w:rPr>
      </w:pPr>
    </w:p>
    <w:p w14:paraId="6FC35529">
      <w:pPr>
        <w:numPr>
          <w:ilvl w:val="0"/>
          <w:numId w:val="0"/>
        </w:numPr>
        <w:suppressAutoHyphens/>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 xml:space="preserve">Osnovno izhodišče urbanističnega oblikovanja novogradnje je, da bo novogradnja usodno izoblikovala vstopno urbano strukturo naselja in jo je potrebno razviti kot izredno pomemben poseg v prostor ob vznožju historičnega jedra naselja.  </w:t>
      </w:r>
    </w:p>
    <w:p w14:paraId="320F32DA">
      <w:pPr>
        <w:numPr>
          <w:ilvl w:val="0"/>
          <w:numId w:val="0"/>
        </w:numPr>
        <w:suppressAutoHyphens/>
        <w:rPr>
          <w:rFonts w:hint="default" w:ascii="Arial Narrow" w:hAnsi="Arial Narrow" w:cs="Arial Narrow"/>
          <w:b w:val="0"/>
          <w:bCs w:val="0"/>
          <w:color w:val="auto"/>
          <w:sz w:val="22"/>
          <w:szCs w:val="22"/>
          <w:highlight w:val="none"/>
          <w:lang w:val="sl-SI"/>
        </w:rPr>
      </w:pPr>
    </w:p>
    <w:p w14:paraId="1BE58D55">
      <w:pPr>
        <w:numPr>
          <w:ilvl w:val="0"/>
          <w:numId w:val="0"/>
        </w:numPr>
        <w:suppressAutoHyphens/>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 xml:space="preserve">Zaradi prostorske gospodarnosti in razpoložljivosti optimalno odmerjenega prostora za novogradnjo je ob pregledu terena jasno, da bo najverjetneje objekt zasnovan z usmeritvijo učilnic na jugovzhodno stran, z javnim dostopom s severne strani in gospodarskimi in funkcionalnimi navezavami z jugozahodne strani. Členjenost stavbnih mas objekta bo najverjetneje morala upoštevati merilo urbane strukture, pri čemer bo potrebno skrbno zasnovati predpise o ločenih vhodih za prvo triado in drugo ter tretjo triado učencev. </w:t>
      </w:r>
    </w:p>
    <w:p w14:paraId="70E5FE1C">
      <w:pPr>
        <w:numPr>
          <w:ilvl w:val="0"/>
          <w:numId w:val="0"/>
        </w:numPr>
        <w:suppressAutoHyphens/>
        <w:rPr>
          <w:rFonts w:hint="default" w:ascii="Arial Narrow" w:hAnsi="Arial Narrow" w:cs="Arial Narrow"/>
          <w:b w:val="0"/>
          <w:bCs w:val="0"/>
          <w:color w:val="auto"/>
          <w:sz w:val="22"/>
          <w:szCs w:val="22"/>
          <w:highlight w:val="none"/>
          <w:lang w:val="sl-SI"/>
        </w:rPr>
      </w:pPr>
    </w:p>
    <w:p w14:paraId="4CCD1E9F">
      <w:pPr>
        <w:numPr>
          <w:ilvl w:val="0"/>
          <w:numId w:val="0"/>
        </w:numPr>
        <w:suppressAutoHyphens/>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Orientacija zemljišča in sosednji objekti sugerirajo vstop v objekt z javne ceste na severu in orientacijo prostorov za pouk na jugozahodno in južno stran ter prostorov za šport na jugozahodno stran, na obstoječe igrišče. Logika dostopanja s severa je spoštovana pri oblikovanju vseh treh sosednjih objektih, ki imajo vsi javne vsebine. Geneza skupne javne severne linijske parkovne površine bi bila smiselna, v kolikor bo zasnova novega objekta to dopuščala, sicer pa je potrebno na dilemo skupne severne poteza smiselno odgovoriti z ustrezno urbano gesto.</w:t>
      </w:r>
    </w:p>
    <w:p w14:paraId="70FC64F3">
      <w:pPr>
        <w:rPr>
          <w:rFonts w:hint="default" w:ascii="Arial Narrow" w:hAnsi="Arial Narrow" w:cs="Arial Narrow"/>
          <w:b/>
          <w:bCs/>
          <w:color w:val="auto"/>
          <w:sz w:val="22"/>
          <w:szCs w:val="22"/>
          <w:highlight w:val="none"/>
          <w:lang w:val="sl-SI"/>
        </w:rPr>
      </w:pPr>
    </w:p>
    <w:p w14:paraId="730507EE">
      <w:pPr>
        <w:rPr>
          <w:rFonts w:hint="default" w:ascii="Arial Narrow" w:hAnsi="Arial Narrow" w:cs="Arial Narrow"/>
          <w:b/>
          <w:bCs/>
          <w:color w:val="auto"/>
          <w:sz w:val="22"/>
          <w:szCs w:val="22"/>
          <w:highlight w:val="none"/>
          <w:lang w:val="sl-SI"/>
        </w:rPr>
      </w:pPr>
      <w:r>
        <w:rPr>
          <w:rFonts w:hint="default" w:ascii="Arial Narrow" w:hAnsi="Arial Narrow" w:cs="Arial Narrow"/>
          <w:b/>
          <w:bCs/>
          <w:color w:val="auto"/>
          <w:sz w:val="22"/>
          <w:szCs w:val="22"/>
          <w:highlight w:val="none"/>
          <w:lang w:val="sl-SI"/>
        </w:rPr>
        <w:t>ZUNANJA UREDITEV, DOSTOPI IN DOVOZI</w:t>
      </w:r>
    </w:p>
    <w:p w14:paraId="36143886">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Možnost dostopa v kompleks ostaja s severne in jugozahodne strani. Severna cesta in južni dostop sta karakterizirana kot javni cesti oz. poti. Glede na zahteve navodila je potrebno zasnovati šolsko dvorišče, gospodarsko dvorišče, servisne dostope in dovoze, intervencijske dovoze in poti gasilskih vozil, dovoz intervencijskih ambulantnih vozil na točko blizu vhoda in spoštovanje splošno veljavnih predpisov za javne objekte.</w:t>
      </w:r>
    </w:p>
    <w:p w14:paraId="06BF73F0">
      <w:pPr>
        <w:rPr>
          <w:rFonts w:hint="default" w:ascii="Arial Narrow" w:hAnsi="Arial Narrow" w:cs="Arial Narrow"/>
          <w:b/>
          <w:bCs/>
          <w:color w:val="auto"/>
          <w:sz w:val="22"/>
          <w:szCs w:val="22"/>
          <w:highlight w:val="none"/>
          <w:lang w:val="sl-SI"/>
        </w:rPr>
      </w:pPr>
    </w:p>
    <w:p w14:paraId="4E2C3589">
      <w:pPr>
        <w:rPr>
          <w:rFonts w:hint="default" w:ascii="Arial Narrow" w:hAnsi="Arial Narrow" w:cs="Arial Narrow"/>
          <w:b/>
          <w:bCs/>
          <w:color w:val="auto"/>
          <w:sz w:val="22"/>
          <w:szCs w:val="22"/>
          <w:highlight w:val="none"/>
          <w:lang w:val="sl-SI"/>
        </w:rPr>
      </w:pPr>
      <w:r>
        <w:rPr>
          <w:rFonts w:hint="default" w:ascii="Arial Narrow" w:hAnsi="Arial Narrow" w:cs="Arial Narrow"/>
          <w:b/>
          <w:bCs/>
          <w:color w:val="auto"/>
          <w:sz w:val="22"/>
          <w:szCs w:val="22"/>
          <w:highlight w:val="none"/>
          <w:lang w:val="sl-SI"/>
        </w:rPr>
        <w:t xml:space="preserve">ZELENE POVRŠINE </w:t>
      </w:r>
    </w:p>
    <w:p w14:paraId="5C1F113D">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Obstoječe okoliške površine so že izoblikovane kot zelene športne in površine, namenjene izobraževanju. Način lociranja objektov v ta prostor je potrebno prilagoditi obstoječi paradigmi umeščanja v prostor oz. v primeru nasprotne rešitve upravičiti drugačen princip umeščanja v prostor. V okvirih ureditve neposrednega prostora na severni strani objekta je dopustno podati predlog oblikovanja linijske parkovne ureditve. Obstoječa drevesa ne predstavljajo omejitev za gradnjo in zasnovo.</w:t>
      </w:r>
    </w:p>
    <w:p w14:paraId="49AC8681">
      <w:pPr>
        <w:rPr>
          <w:rFonts w:hint="default" w:ascii="Arial Narrow" w:hAnsi="Arial Narrow" w:cs="Arial Narrow"/>
          <w:b/>
          <w:bCs/>
          <w:color w:val="auto"/>
          <w:sz w:val="22"/>
          <w:szCs w:val="22"/>
          <w:highlight w:val="none"/>
          <w:lang w:val="sl-SI"/>
        </w:rPr>
      </w:pPr>
    </w:p>
    <w:p w14:paraId="5379C22A">
      <w:pPr>
        <w:rPr>
          <w:rFonts w:hint="default" w:ascii="Arial Narrow" w:hAnsi="Arial Narrow" w:cs="Arial Narrow"/>
          <w:b/>
          <w:bCs/>
          <w:color w:val="auto"/>
          <w:sz w:val="22"/>
          <w:szCs w:val="22"/>
          <w:highlight w:val="none"/>
          <w:lang w:val="sl-SI"/>
        </w:rPr>
      </w:pPr>
      <w:r>
        <w:rPr>
          <w:rFonts w:hint="default" w:ascii="Arial Narrow" w:hAnsi="Arial Narrow" w:cs="Arial Narrow"/>
          <w:b/>
          <w:bCs/>
          <w:color w:val="auto"/>
          <w:sz w:val="22"/>
          <w:szCs w:val="22"/>
          <w:highlight w:val="none"/>
          <w:lang w:val="sl-SI"/>
        </w:rPr>
        <w:t>PROMETNA UREDITEV</w:t>
      </w:r>
    </w:p>
    <w:p w14:paraId="440FBF60">
      <w:pPr>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lang w:val="sl-SI"/>
        </w:rPr>
        <w:t>Prometna ureditev širšega prostora je uveljavljena, v širšem prostoru ni predvidenih sprememb poteka prometnih poti, cest, ureditev mirujočega prometa in podobno. Pri snovanju internih prometnih dostopov in dovozov je potrebno spoštovati uveljavljene smernice in pravila primernega priključevanja na obstoječo prometno mrežo. V skladu z zahtevami mnenjedajalca Občina Ormož in veljavnimi prostorskimi akti je potrebno zagotoviti najmanj toliko parkirnih mest, kolikor jih zahteva veljavni prostorski akt (opredelitve v tabeli v priloženi Lokacijski informaciji).</w:t>
      </w:r>
    </w:p>
    <w:p w14:paraId="55DDD866">
      <w:pPr>
        <w:rPr>
          <w:rFonts w:hint="default" w:ascii="Arial Narrow" w:hAnsi="Arial Narrow" w:cs="Arial Narrow"/>
          <w:b/>
          <w:bCs/>
          <w:color w:val="auto"/>
          <w:sz w:val="22"/>
          <w:szCs w:val="22"/>
          <w:highlight w:val="none"/>
        </w:rPr>
      </w:pPr>
    </w:p>
    <w:p w14:paraId="193BA2C2">
      <w:pPr>
        <w:rPr>
          <w:rFonts w:hint="default" w:ascii="Arial Narrow" w:hAnsi="Arial Narrow" w:cs="Arial Narrow"/>
          <w:b/>
          <w:bCs/>
          <w:color w:val="auto"/>
          <w:sz w:val="22"/>
          <w:szCs w:val="22"/>
          <w:highlight w:val="none"/>
        </w:rPr>
      </w:pPr>
    </w:p>
    <w:p w14:paraId="29E3FF65">
      <w:pPr>
        <w:rPr>
          <w:rFonts w:hint="default" w:ascii="Arial Narrow" w:hAnsi="Arial Narrow" w:cs="Arial Narrow"/>
          <w:b/>
          <w:bCs/>
          <w:color w:val="auto"/>
          <w:sz w:val="22"/>
          <w:szCs w:val="22"/>
          <w:highlight w:val="none"/>
          <w:lang w:val="sl-SI"/>
        </w:rPr>
      </w:pPr>
      <w:r>
        <w:rPr>
          <w:rFonts w:hint="default" w:ascii="Arial Narrow" w:hAnsi="Arial Narrow" w:cs="Arial Narrow"/>
          <w:b/>
          <w:bCs/>
          <w:color w:val="auto"/>
          <w:sz w:val="22"/>
          <w:szCs w:val="22"/>
          <w:highlight w:val="none"/>
          <w:lang w:val="sl-SI"/>
        </w:rPr>
        <w:t>DRUGE SPLOŠNE ZAHTEVE NAROČNIKA ZA GRADNJO</w:t>
      </w:r>
    </w:p>
    <w:p w14:paraId="29B96C3D">
      <w:pPr>
        <w:spacing w:beforeLines="0" w:afterLines="0" w:line="245" w:lineRule="exact"/>
        <w:jc w:val="left"/>
        <w:rPr>
          <w:rFonts w:hint="default" w:ascii="Calibri" w:hAnsi="Calibri" w:eastAsia="Calibri"/>
          <w:b/>
          <w:color w:val="000000"/>
          <w:sz w:val="20"/>
          <w:szCs w:val="24"/>
          <w:lang w:val="sl-SI"/>
        </w:rPr>
      </w:pPr>
    </w:p>
    <w:p w14:paraId="0409B228">
      <w:pPr>
        <w:spacing w:before="1" w:beforeLines="0" w:afterLines="0" w:line="245" w:lineRule="exact"/>
        <w:jc w:val="left"/>
        <w:rPr>
          <w:rFonts w:hint="default" w:ascii="Arial Narrow" w:hAnsi="Arial Narrow" w:eastAsia="Calibri" w:cs="Arial Narrow"/>
          <w:b/>
          <w:color w:val="000000"/>
          <w:sz w:val="22"/>
          <w:szCs w:val="22"/>
          <w:lang w:val="sl-SI"/>
        </w:rPr>
      </w:pPr>
      <w:r>
        <w:rPr>
          <w:rFonts w:hint="default" w:ascii="Arial Narrow" w:hAnsi="Arial Narrow" w:eastAsia="Calibri" w:cs="Arial Narrow"/>
          <w:b/>
          <w:color w:val="000000"/>
          <w:sz w:val="22"/>
          <w:szCs w:val="22"/>
          <w:lang w:val="sl-SI"/>
        </w:rPr>
        <w:t>Hkrati z navodili glede šolskih prostorov je potrebno zagotoviti še naslednje prostorske lastnosti:</w:t>
      </w:r>
    </w:p>
    <w:p w14:paraId="47A7DB57">
      <w:pPr>
        <w:spacing w:before="1" w:beforeLines="0" w:afterLines="0" w:line="245" w:lineRule="exact"/>
        <w:jc w:val="left"/>
        <w:rPr>
          <w:rFonts w:hint="default" w:ascii="Arial Narrow" w:hAnsi="Arial Narrow" w:eastAsia="Calibri" w:cs="Arial Narrow"/>
          <w:b/>
          <w:color w:val="000000"/>
          <w:sz w:val="22"/>
          <w:szCs w:val="22"/>
          <w:lang w:val="sl-SI"/>
        </w:rPr>
      </w:pPr>
    </w:p>
    <w:p w14:paraId="143A9936">
      <w:pPr>
        <w:spacing w:before="1" w:beforeLines="0" w:afterLines="0" w:line="245"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Vhodi in komunikacije</w:t>
      </w:r>
    </w:p>
    <w:p w14:paraId="0354FC23">
      <w:pPr>
        <w:spacing w:beforeLines="0" w:afterLines="0" w:line="244"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Objekt mora imeti smotrne povezave med vhodi in komunikacijami ter ostalimi prostori.</w:t>
      </w:r>
    </w:p>
    <w:p w14:paraId="0932F6EE">
      <w:pPr>
        <w:spacing w:beforeLines="0" w:afterLines="0" w:line="211" w:lineRule="auto"/>
        <w:jc w:val="left"/>
        <w:rPr>
          <w:rFonts w:hint="default" w:ascii="Arial Narrow" w:hAnsi="Arial Narrow" w:cs="Arial Narrow"/>
          <w:sz w:val="22"/>
          <w:szCs w:val="22"/>
        </w:rPr>
      </w:pPr>
      <w:r>
        <w:rPr>
          <w:rFonts w:hint="default" w:ascii="Arial Narrow" w:hAnsi="Arial Narrow" w:eastAsia="Calibri" w:cs="Arial Narrow"/>
          <w:color w:val="000000"/>
          <w:sz w:val="22"/>
          <w:szCs w:val="22"/>
        </w:rPr>
        <w:t xml:space="preserve">Stavba  ima  obvezno  ločena </w:t>
      </w:r>
      <w:r>
        <w:rPr>
          <w:rFonts w:hint="default" w:ascii="Arial Narrow" w:hAnsi="Arial Narrow" w:eastAsia="Calibri" w:cs="Arial Narrow"/>
          <w:color w:val="000000"/>
          <w:sz w:val="22"/>
          <w:szCs w:val="22"/>
          <w:lang w:val="sl-SI"/>
        </w:rPr>
        <w:t>dva</w:t>
      </w:r>
      <w:r>
        <w:rPr>
          <w:rFonts w:hint="default" w:ascii="Arial Narrow" w:hAnsi="Arial Narrow" w:eastAsia="Calibri" w:cs="Arial Narrow"/>
          <w:color w:val="000000"/>
          <w:sz w:val="22"/>
          <w:szCs w:val="22"/>
        </w:rPr>
        <w:t xml:space="preserve"> glavn</w:t>
      </w:r>
      <w:r>
        <w:rPr>
          <w:rFonts w:hint="default" w:ascii="Arial Narrow" w:hAnsi="Arial Narrow" w:eastAsia="Calibri" w:cs="Arial Narrow"/>
          <w:color w:val="000000"/>
          <w:sz w:val="22"/>
          <w:szCs w:val="22"/>
          <w:lang w:val="sl-SI"/>
        </w:rPr>
        <w:t>a</w:t>
      </w:r>
      <w:r>
        <w:rPr>
          <w:rFonts w:hint="default" w:ascii="Arial Narrow" w:hAnsi="Arial Narrow" w:eastAsia="Calibri" w:cs="Arial Narrow"/>
          <w:color w:val="000000"/>
          <w:sz w:val="22"/>
          <w:szCs w:val="22"/>
        </w:rPr>
        <w:t xml:space="preserve">  in  interni  vhod,  ki  vodi  do  prostorov,  ki  se  uporabljajo  izven obratovalnega časa </w:t>
      </w:r>
      <w:r>
        <w:rPr>
          <w:rFonts w:hint="default" w:ascii="Arial Narrow" w:hAnsi="Arial Narrow" w:eastAsia="Calibri" w:cs="Arial Narrow"/>
          <w:color w:val="000000"/>
          <w:sz w:val="22"/>
          <w:szCs w:val="22"/>
          <w:lang w:val="sl-SI"/>
        </w:rPr>
        <w:t>šole</w:t>
      </w:r>
      <w:r>
        <w:rPr>
          <w:rFonts w:hint="default" w:ascii="Arial Narrow" w:hAnsi="Arial Narrow" w:eastAsia="Calibri" w:cs="Arial Narrow"/>
          <w:color w:val="000000"/>
          <w:sz w:val="22"/>
          <w:szCs w:val="22"/>
        </w:rPr>
        <w:t>.</w:t>
      </w:r>
    </w:p>
    <w:p w14:paraId="4DD7453D">
      <w:pPr>
        <w:spacing w:beforeLines="0" w:afterLines="0" w:line="244"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 xml:space="preserve">Vhodi  v  šolo  naj  bodo  jasno  opredeljeni.  Ne  smejo  biti  neposredno  povezani  na  prometno  ulico. Izogibati  se  je  potrebno  zunanjim  stopnicam.  Višinske  razlike  naj  se  premagujejo  s  pokritimi klančinami z največjim dovoljenim naklonom. Pred vhodom za </w:t>
      </w:r>
      <w:r>
        <w:rPr>
          <w:rFonts w:hint="default" w:ascii="Arial Narrow" w:hAnsi="Arial Narrow" w:eastAsia="Calibri" w:cs="Arial Narrow"/>
          <w:color w:val="000000"/>
          <w:sz w:val="22"/>
          <w:szCs w:val="22"/>
          <w:lang w:val="sl-SI"/>
        </w:rPr>
        <w:t>učence</w:t>
      </w:r>
      <w:r>
        <w:rPr>
          <w:rFonts w:hint="default" w:ascii="Arial Narrow" w:hAnsi="Arial Narrow" w:eastAsia="Calibri" w:cs="Arial Narrow"/>
          <w:color w:val="000000"/>
          <w:sz w:val="22"/>
          <w:szCs w:val="22"/>
        </w:rPr>
        <w:t xml:space="preserve"> naj bo nadstrešek, ki zmore pred dežjem in vetrom varovati tudi večje število oseb.</w:t>
      </w:r>
    </w:p>
    <w:p w14:paraId="7EAF828E">
      <w:pPr>
        <w:spacing w:beforeLines="0" w:afterLines="0" w:line="210"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Komunikacije  povezujejo  posamezne  šolske  trakte  in  vodijo  v  vse  prostore  zgradbe.  Komunikacijske površine šole naj bodo čim manjše, kar pa ne sme zmanjševati zahtevanega prostorskega standarda ali uporabnosti objekta. Hodnik pred učilnicami mora imeti najmanj 2,40 m svetle širine (brez klopi ali omar  ipd.).  Komunikacije  je  potrebno  projektirati  tako,  da  so  čim  bolj  enostavne,  kratke  in  da omogočajo  enostavno  orientacijo.  V  njih  je  zaželeno  predvideti  razširitve  na  določenih  mestih  (npr. zalivčki s klopmi). Po potrebi morajo omogočati hitro in učinkovito evakuacijo objekta. Komunikacije je  potrebno  diferencirati  po  namenu,  ki  ga  imajo  posamezne  prostorske  skupine,  morajo  biti osvetljene  in  primerno  označene.  V  centralnih  hodnikih  in  avlah  naj  bo  omogočeno  pitje  vode  z vgradnjo  pitnikov.  Vse  komunikacije  morajo  omogočati  neovirano  gibanje  invalidov;  vertikalne komunikacije predvidevajo dvigalo, ki povezuje vse etaže.</w:t>
      </w:r>
    </w:p>
    <w:p w14:paraId="29549435">
      <w:pPr>
        <w:spacing w:beforeLines="0" w:afterLines="0" w:line="211" w:lineRule="auto"/>
        <w:ind w:right="44"/>
        <w:rPr>
          <w:rFonts w:hint="default" w:ascii="Arial Narrow" w:hAnsi="Arial Narrow" w:eastAsia="Calibri" w:cs="Arial Narrow"/>
          <w:b/>
          <w:color w:val="000000"/>
          <w:sz w:val="22"/>
          <w:szCs w:val="22"/>
        </w:rPr>
      </w:pPr>
    </w:p>
    <w:p w14:paraId="36AAE656">
      <w:pPr>
        <w:spacing w:beforeLines="0" w:afterLines="0" w:line="211" w:lineRule="auto"/>
        <w:ind w:right="44"/>
        <w:rPr>
          <w:rFonts w:hint="default" w:ascii="Arial Narrow" w:hAnsi="Arial Narrow" w:eastAsia="Calibri" w:cs="Arial Narrow"/>
          <w:color w:val="000000"/>
          <w:sz w:val="22"/>
          <w:szCs w:val="22"/>
        </w:rPr>
      </w:pPr>
      <w:r>
        <w:rPr>
          <w:rFonts w:hint="default" w:ascii="Arial Narrow" w:hAnsi="Arial Narrow" w:eastAsia="Calibri" w:cs="Arial Narrow"/>
          <w:b/>
          <w:color w:val="000000"/>
          <w:sz w:val="22"/>
          <w:szCs w:val="22"/>
        </w:rPr>
        <w:t>Stopnišča</w:t>
      </w:r>
      <w:r>
        <w:rPr>
          <w:rFonts w:hint="default" w:ascii="Arial Narrow" w:hAnsi="Arial Narrow" w:eastAsia="Calibri" w:cs="Arial Narrow"/>
          <w:color w:val="000000"/>
          <w:sz w:val="22"/>
          <w:szCs w:val="22"/>
        </w:rPr>
        <w:t xml:space="preserve"> morajo biti z glavnih horizontalnih komunikacij lahko dostopna. Število in položaj stopnišč narekuje zahteva, da razdalja od stopnišča do vhoda najbolj oddaljene učilnice ne sme presegati 30 metrov. Širina stopniščne rame se določi po številu </w:t>
      </w:r>
      <w:r>
        <w:rPr>
          <w:rFonts w:hint="default" w:ascii="Arial Narrow" w:hAnsi="Arial Narrow" w:eastAsia="Calibri" w:cs="Arial Narrow"/>
          <w:color w:val="000000"/>
          <w:sz w:val="22"/>
          <w:szCs w:val="22"/>
          <w:lang w:val="sl-SI"/>
        </w:rPr>
        <w:t>učencev</w:t>
      </w:r>
      <w:r>
        <w:rPr>
          <w:rFonts w:hint="default" w:ascii="Arial Narrow" w:hAnsi="Arial Narrow" w:eastAsia="Calibri" w:cs="Arial Narrow"/>
          <w:color w:val="000000"/>
          <w:sz w:val="22"/>
          <w:szCs w:val="22"/>
        </w:rPr>
        <w:t>, ki jim je namenjena. Najmanjša širina je</w:t>
      </w:r>
      <w:r>
        <w:rPr>
          <w:rFonts w:hint="default" w:ascii="Arial Narrow" w:hAnsi="Arial Narrow" w:eastAsia="Calibri" w:cs="Arial Narrow"/>
          <w:color w:val="000000"/>
          <w:sz w:val="22"/>
          <w:szCs w:val="22"/>
          <w:lang w:val="sl-SI"/>
        </w:rPr>
        <w:t xml:space="preserve"> </w:t>
      </w:r>
      <w:r>
        <w:rPr>
          <w:rFonts w:hint="default" w:ascii="Arial Narrow" w:hAnsi="Arial Narrow" w:eastAsia="Calibri" w:cs="Arial Narrow"/>
          <w:color w:val="000000"/>
          <w:sz w:val="22"/>
          <w:szCs w:val="22"/>
        </w:rPr>
        <w:t>120 cm (do 100 učencev). Če prevzame stopnišče več kot 100 učencev, se širina rame poveča za 0,5 cm</w:t>
      </w:r>
      <w:r>
        <w:rPr>
          <w:rFonts w:hint="default" w:ascii="Arial Narrow" w:hAnsi="Arial Narrow" w:eastAsia="Calibri" w:cs="Arial Narrow"/>
          <w:color w:val="FF0000"/>
          <w:sz w:val="22"/>
          <w:szCs w:val="22"/>
        </w:rPr>
        <w:t xml:space="preserve"> </w:t>
      </w:r>
      <w:r>
        <w:rPr>
          <w:rFonts w:hint="default" w:ascii="Arial Narrow" w:hAnsi="Arial Narrow" w:eastAsia="Calibri" w:cs="Arial Narrow"/>
          <w:color w:val="000000"/>
          <w:sz w:val="22"/>
          <w:szCs w:val="22"/>
        </w:rPr>
        <w:t xml:space="preserve">na vsakega </w:t>
      </w:r>
      <w:r>
        <w:rPr>
          <w:rFonts w:hint="default" w:ascii="Arial Narrow" w:hAnsi="Arial Narrow" w:eastAsia="Calibri" w:cs="Arial Narrow"/>
          <w:color w:val="000000"/>
          <w:sz w:val="22"/>
          <w:szCs w:val="22"/>
          <w:lang w:val="sl-SI"/>
        </w:rPr>
        <w:t>učenca</w:t>
      </w:r>
      <w:r>
        <w:rPr>
          <w:rFonts w:hint="default" w:ascii="Arial Narrow" w:hAnsi="Arial Narrow" w:eastAsia="Calibri" w:cs="Arial Narrow"/>
          <w:color w:val="000000"/>
          <w:sz w:val="22"/>
          <w:szCs w:val="22"/>
        </w:rPr>
        <w:t>. Na stopnišču mora biti med vsako etažo vmesni podest. Stopniščne ograje naj bodo visoke 120 cm.</w:t>
      </w:r>
    </w:p>
    <w:p w14:paraId="59B15F2D">
      <w:pPr>
        <w:spacing w:before="196" w:beforeLines="0" w:afterLines="0" w:line="240"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Predvidene kapacitete, zmogljivosti objektov in ureditev</w:t>
      </w:r>
    </w:p>
    <w:p w14:paraId="7F20D9F3">
      <w:pPr>
        <w:spacing w:beforeLines="0" w:afterLines="0" w:line="211"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Podroben seznam prostorov je razviden iz preglednice površin</w:t>
      </w:r>
      <w:r>
        <w:rPr>
          <w:rFonts w:hint="default" w:ascii="Arial Narrow" w:hAnsi="Arial Narrow" w:eastAsia="Calibri" w:cs="Arial Narrow"/>
          <w:color w:val="000000"/>
          <w:sz w:val="22"/>
          <w:szCs w:val="22"/>
          <w:lang w:val="sl-SI"/>
        </w:rPr>
        <w:t xml:space="preserve"> in preverjen v priloženem preveritvenem projektu.</w:t>
      </w:r>
      <w:r>
        <w:rPr>
          <w:rFonts w:hint="default" w:ascii="Arial Narrow" w:hAnsi="Arial Narrow" w:eastAsia="Calibri" w:cs="Arial Narrow"/>
          <w:color w:val="000000"/>
          <w:sz w:val="22"/>
          <w:szCs w:val="22"/>
        </w:rPr>
        <w:t xml:space="preserve"> Na načrtih in v popisih površin je zaradi primerljivosti potrebno uporabiti</w:t>
      </w:r>
      <w:r>
        <w:rPr>
          <w:rFonts w:hint="default" w:ascii="Arial Narrow" w:hAnsi="Arial Narrow" w:eastAsia="Calibri" w:cs="Arial Narrow"/>
          <w:color w:val="000000"/>
          <w:sz w:val="22"/>
          <w:szCs w:val="22"/>
          <w:lang w:val="sl-SI"/>
        </w:rPr>
        <w:t xml:space="preserve"> tabele, navedene v tej natečajni nalogi</w:t>
      </w:r>
      <w:r>
        <w:rPr>
          <w:rFonts w:hint="default" w:ascii="Arial Narrow" w:hAnsi="Arial Narrow" w:eastAsia="Calibri" w:cs="Arial Narrow"/>
          <w:color w:val="000000"/>
          <w:sz w:val="22"/>
          <w:szCs w:val="22"/>
        </w:rPr>
        <w:t>. Eventualni dodatni  prostori</w:t>
      </w:r>
      <w:r>
        <w:rPr>
          <w:rFonts w:hint="default" w:ascii="Arial Narrow" w:hAnsi="Arial Narrow" w:eastAsia="Calibri" w:cs="Arial Narrow"/>
          <w:color w:val="000000"/>
          <w:sz w:val="22"/>
          <w:szCs w:val="22"/>
          <w:lang w:val="sl-SI"/>
        </w:rPr>
        <w:t xml:space="preserve"> </w:t>
      </w:r>
      <w:r>
        <w:rPr>
          <w:rFonts w:hint="default" w:ascii="Arial Narrow" w:hAnsi="Arial Narrow" w:eastAsia="Calibri" w:cs="Arial Narrow"/>
          <w:color w:val="000000"/>
          <w:sz w:val="22"/>
          <w:szCs w:val="22"/>
        </w:rPr>
        <w:t>morajo  biti  za  vsak  posamezen  objekt  dosledno prikazani v rubriki dodatni prostori.</w:t>
      </w:r>
    </w:p>
    <w:p w14:paraId="21753C31">
      <w:pPr>
        <w:spacing w:before="196" w:beforeLines="0" w:afterLines="0" w:line="240"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Umetniški delež v javnih investicijskih projektih</w:t>
      </w:r>
    </w:p>
    <w:p w14:paraId="08308234">
      <w:pPr>
        <w:spacing w:beforeLines="0" w:afterLines="0" w:line="244" w:lineRule="auto"/>
        <w:ind w:right="45"/>
        <w:rPr>
          <w:rFonts w:hint="default" w:ascii="Arial Narrow" w:hAnsi="Arial Narrow" w:cs="Arial Narrow"/>
          <w:sz w:val="22"/>
          <w:szCs w:val="22"/>
        </w:rPr>
      </w:pPr>
      <w:r>
        <w:rPr>
          <w:rFonts w:hint="default" w:ascii="Arial Narrow" w:hAnsi="Arial Narrow" w:eastAsia="Calibri" w:cs="Arial Narrow"/>
          <w:color w:val="000000"/>
          <w:sz w:val="22"/>
          <w:szCs w:val="22"/>
        </w:rPr>
        <w:t>Novela  zakona  v  poglavju  III.  Zakona  o  uresničevanju  javnega  interesa  za  kulturo  (Uradni  list  RS,  št. 77/07)  dodaja  novo  točko  št.  2.2,  z  naslovom  „Umetniški  delež  v  javnih  investicijskih  projektih”,  ki uvaja  ukrep  umetniškega  deleža  v  javnih  investicijskih  projektih  (pri  novogradnjah  in  obnovah nepremičnin),  s  katerim  se  izvaja  obveznost  javnih  investitorjev,  da  del  sredstev,  namenjenih  za gradnjo  ali  obnovo  objektov  v  javni  lasti,  namenijo  za  opremo  teh  objektov  ali  njihove  okolice  z umetniškimi deli. Prvonagrajeni natečajnik bo tako v fazi IDZ k sodelovanju vključil izbrane umetnike.</w:t>
      </w:r>
    </w:p>
    <w:p w14:paraId="703E46C9">
      <w:pPr>
        <w:spacing w:beforeLines="0" w:afterLines="0" w:line="245" w:lineRule="auto"/>
        <w:jc w:val="left"/>
        <w:rPr>
          <w:rFonts w:hint="default" w:ascii="Calibri" w:hAnsi="Calibri" w:eastAsia="Calibri"/>
          <w:color w:val="000000"/>
          <w:sz w:val="20"/>
          <w:szCs w:val="24"/>
        </w:rPr>
      </w:pPr>
    </w:p>
    <w:p w14:paraId="435D56A9">
      <w:pPr>
        <w:spacing w:beforeLines="0" w:afterLines="0" w:line="245" w:lineRule="auto"/>
        <w:jc w:val="left"/>
        <w:rPr>
          <w:rFonts w:hint="default" w:ascii="Calibri" w:hAnsi="Calibri" w:eastAsia="Calibri"/>
          <w:color w:val="000000"/>
          <w:sz w:val="20"/>
          <w:szCs w:val="24"/>
        </w:rPr>
      </w:pPr>
    </w:p>
    <w:p w14:paraId="56C9CD4C">
      <w:pPr>
        <w:spacing w:before="1" w:beforeLines="0" w:afterLines="0" w:line="244" w:lineRule="exact"/>
        <w:jc w:val="left"/>
        <w:rPr>
          <w:rFonts w:hint="default" w:ascii="Arial Narrow" w:hAnsi="Arial Narrow" w:cs="Arial Narrow"/>
          <w:b/>
          <w:bCs/>
          <w:sz w:val="22"/>
          <w:szCs w:val="22"/>
        </w:rPr>
      </w:pPr>
      <w:r>
        <w:rPr>
          <w:rFonts w:hint="default" w:ascii="Arial Narrow" w:hAnsi="Arial Narrow" w:eastAsia="Calibri" w:cs="Arial Narrow"/>
          <w:b/>
          <w:bCs/>
          <w:color w:val="000000"/>
          <w:sz w:val="22"/>
          <w:szCs w:val="22"/>
        </w:rPr>
        <w:t>NORMATIVNE IN TEHNIČNE ZAHTEVE</w:t>
      </w:r>
    </w:p>
    <w:p w14:paraId="5DD3D1D4">
      <w:pPr>
        <w:spacing w:beforeLines="0" w:afterLines="0" w:line="211" w:lineRule="auto"/>
        <w:ind w:right="45"/>
        <w:rPr>
          <w:rFonts w:hint="default" w:ascii="Arial Narrow" w:hAnsi="Arial Narrow" w:eastAsia="Calibri" w:cs="Arial Narrow"/>
          <w:color w:val="000000"/>
          <w:sz w:val="22"/>
          <w:szCs w:val="22"/>
        </w:rPr>
      </w:pPr>
    </w:p>
    <w:p w14:paraId="6294C962">
      <w:pPr>
        <w:spacing w:beforeLines="0" w:afterLines="0" w:line="211" w:lineRule="auto"/>
        <w:ind w:right="45"/>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Nov</w:t>
      </w:r>
      <w:r>
        <w:rPr>
          <w:rFonts w:hint="default" w:ascii="Arial Narrow" w:hAnsi="Arial Narrow" w:eastAsia="Calibri" w:cs="Arial Narrow"/>
          <w:color w:val="000000"/>
          <w:sz w:val="22"/>
          <w:szCs w:val="22"/>
          <w:lang w:val="sl-SI"/>
        </w:rPr>
        <w:t xml:space="preserve"> objekt naj bo zasnovan kot </w:t>
      </w:r>
      <w:r>
        <w:rPr>
          <w:rFonts w:hint="default" w:ascii="Arial Narrow" w:hAnsi="Arial Narrow" w:eastAsia="Calibri" w:cs="Arial Narrow"/>
          <w:color w:val="000000"/>
          <w:sz w:val="22"/>
          <w:szCs w:val="22"/>
        </w:rPr>
        <w:t>skoraj  nič  energijska  stavba</w:t>
      </w:r>
      <w:r>
        <w:rPr>
          <w:rFonts w:hint="default" w:ascii="Arial Narrow" w:hAnsi="Arial Narrow" w:eastAsia="Calibri" w:cs="Arial Narrow"/>
          <w:color w:val="000000"/>
          <w:sz w:val="22"/>
          <w:szCs w:val="22"/>
          <w:lang w:val="sl-SI"/>
        </w:rPr>
        <w:t xml:space="preserve"> (sNES)</w:t>
      </w:r>
      <w:r>
        <w:rPr>
          <w:rFonts w:hint="default" w:ascii="Arial Narrow" w:hAnsi="Arial Narrow" w:eastAsia="Calibri" w:cs="Arial Narrow"/>
          <w:color w:val="000000"/>
          <w:sz w:val="22"/>
          <w:szCs w:val="22"/>
        </w:rPr>
        <w:t>.  Tej  usmeritvi  naj  ustrezno  sledi  zasnova  stavbe, uporaba  materialov  in  zasnova  inštalacij.  Zasnova  stavbe  mora  ustrezati  zakonom,  pravilnikom, standardom,  prostorskim  aktom,  ipd.  ki  so  v  povezavi  s  predmetom  natečaja  in  so  del  natečajnih prilog.</w:t>
      </w:r>
    </w:p>
    <w:p w14:paraId="44FB5EBE">
      <w:pPr>
        <w:spacing w:beforeLines="0" w:afterLines="0" w:line="211" w:lineRule="auto"/>
        <w:ind w:right="45"/>
        <w:rPr>
          <w:rFonts w:hint="default" w:ascii="Arial Narrow" w:hAnsi="Arial Narrow" w:eastAsia="Calibri" w:cs="Arial Narrow"/>
          <w:color w:val="000000"/>
          <w:sz w:val="22"/>
          <w:szCs w:val="22"/>
          <w:lang w:val="sl-SI"/>
        </w:rPr>
      </w:pPr>
      <w:r>
        <w:rPr>
          <w:rFonts w:hint="default" w:ascii="Arial Narrow" w:hAnsi="Arial Narrow" w:eastAsia="Calibri" w:cs="Arial Narrow"/>
          <w:color w:val="000000"/>
          <w:sz w:val="22"/>
          <w:szCs w:val="22"/>
          <w:lang w:val="sl-SI"/>
        </w:rPr>
        <w:t>Nov objekt naj bo zasnovan v skladu s temeljnimi pravili novega Bauhaus in v skladu z načelom DNSH (do no significant harm) v odnosu do okolja.</w:t>
      </w:r>
    </w:p>
    <w:p w14:paraId="5E6182AA">
      <w:pPr>
        <w:spacing w:before="196" w:beforeLines="0" w:afterLines="0" w:line="240"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Konstrukcijska zasnova</w:t>
      </w:r>
    </w:p>
    <w:p w14:paraId="1ED316A1">
      <w:pPr>
        <w:spacing w:beforeLines="0" w:afterLines="0" w:line="245" w:lineRule="auto"/>
        <w:ind w:right="45"/>
        <w:rPr>
          <w:rFonts w:hint="default" w:ascii="Arial Narrow" w:hAnsi="Arial Narrow" w:cs="Arial Narrow"/>
          <w:sz w:val="22"/>
          <w:szCs w:val="22"/>
        </w:rPr>
      </w:pPr>
      <w:r>
        <w:rPr>
          <w:rFonts w:hint="default" w:ascii="Arial Narrow" w:hAnsi="Arial Narrow" w:eastAsia="Calibri" w:cs="Arial Narrow"/>
          <w:color w:val="000000"/>
          <w:sz w:val="22"/>
          <w:szCs w:val="22"/>
        </w:rPr>
        <w:t xml:space="preserve">Konstrukcija  stavbe  in  tehnologija  gradnje  je  stvar  natečajne  zasnove.  Izbira  nosilne  konstrukcije objekta je prepuščena odločitvi natečajnika. Konstrukcijski sistem je potrebno optimizirati tako glede tržne </w:t>
      </w:r>
      <w:r>
        <w:rPr>
          <w:rFonts w:hint="default" w:ascii="Arial Narrow" w:hAnsi="Arial Narrow" w:eastAsia="Calibri" w:cs="Arial Narrow"/>
          <w:color w:val="000000"/>
          <w:spacing w:val="11"/>
          <w:sz w:val="22"/>
          <w:szCs w:val="22"/>
        </w:rPr>
        <w:t xml:space="preserve"> </w:t>
      </w:r>
      <w:r>
        <w:rPr>
          <w:rFonts w:hint="default" w:ascii="Arial Narrow" w:hAnsi="Arial Narrow" w:eastAsia="Calibri" w:cs="Arial Narrow"/>
          <w:color w:val="000000"/>
          <w:sz w:val="22"/>
          <w:szCs w:val="22"/>
        </w:rPr>
        <w:t xml:space="preserve">primerljivosti </w:t>
      </w:r>
      <w:r>
        <w:rPr>
          <w:rFonts w:hint="default" w:ascii="Arial Narrow" w:hAnsi="Arial Narrow" w:eastAsia="Calibri" w:cs="Arial Narrow"/>
          <w:color w:val="000000"/>
          <w:spacing w:val="11"/>
          <w:sz w:val="22"/>
          <w:szCs w:val="22"/>
        </w:rPr>
        <w:t xml:space="preserve"> </w:t>
      </w:r>
      <w:r>
        <w:rPr>
          <w:rFonts w:hint="default" w:ascii="Arial Narrow" w:hAnsi="Arial Narrow" w:eastAsia="Calibri" w:cs="Arial Narrow"/>
          <w:color w:val="000000"/>
          <w:sz w:val="22"/>
          <w:szCs w:val="22"/>
        </w:rPr>
        <w:t xml:space="preserve">in </w:t>
      </w:r>
      <w:r>
        <w:rPr>
          <w:rFonts w:hint="default" w:ascii="Arial Narrow" w:hAnsi="Arial Narrow" w:eastAsia="Calibri" w:cs="Arial Narrow"/>
          <w:color w:val="000000"/>
          <w:spacing w:val="11"/>
          <w:sz w:val="22"/>
          <w:szCs w:val="22"/>
        </w:rPr>
        <w:t xml:space="preserve"> </w:t>
      </w:r>
      <w:r>
        <w:rPr>
          <w:rFonts w:hint="default" w:ascii="Arial Narrow" w:hAnsi="Arial Narrow" w:eastAsia="Calibri" w:cs="Arial Narrow"/>
          <w:color w:val="000000"/>
          <w:sz w:val="22"/>
          <w:szCs w:val="22"/>
        </w:rPr>
        <w:t xml:space="preserve">stroškovne </w:t>
      </w:r>
      <w:r>
        <w:rPr>
          <w:rFonts w:hint="default" w:ascii="Arial Narrow" w:hAnsi="Arial Narrow" w:eastAsia="Calibri" w:cs="Arial Narrow"/>
          <w:color w:val="000000"/>
          <w:spacing w:val="11"/>
          <w:sz w:val="22"/>
          <w:szCs w:val="22"/>
        </w:rPr>
        <w:t xml:space="preserve"> </w:t>
      </w:r>
      <w:r>
        <w:rPr>
          <w:rFonts w:hint="default" w:ascii="Arial Narrow" w:hAnsi="Arial Narrow" w:eastAsia="Calibri" w:cs="Arial Narrow"/>
          <w:color w:val="000000"/>
          <w:sz w:val="22"/>
          <w:szCs w:val="22"/>
        </w:rPr>
        <w:t xml:space="preserve">obvladljivosti </w:t>
      </w:r>
      <w:r>
        <w:rPr>
          <w:rFonts w:hint="default" w:ascii="Arial Narrow" w:hAnsi="Arial Narrow" w:eastAsia="Calibri" w:cs="Arial Narrow"/>
          <w:color w:val="000000"/>
          <w:spacing w:val="11"/>
          <w:sz w:val="22"/>
          <w:szCs w:val="22"/>
        </w:rPr>
        <w:t xml:space="preserve"> </w:t>
      </w:r>
      <w:r>
        <w:rPr>
          <w:rFonts w:hint="default" w:ascii="Arial Narrow" w:hAnsi="Arial Narrow" w:eastAsia="Calibri" w:cs="Arial Narrow"/>
          <w:color w:val="000000"/>
          <w:sz w:val="22"/>
          <w:szCs w:val="22"/>
        </w:rPr>
        <w:t xml:space="preserve">objekta, </w:t>
      </w:r>
      <w:r>
        <w:rPr>
          <w:rFonts w:hint="default" w:ascii="Arial Narrow" w:hAnsi="Arial Narrow" w:eastAsia="Calibri" w:cs="Arial Narrow"/>
          <w:color w:val="000000"/>
          <w:spacing w:val="11"/>
          <w:sz w:val="22"/>
          <w:szCs w:val="22"/>
        </w:rPr>
        <w:t xml:space="preserve"> </w:t>
      </w:r>
      <w:r>
        <w:rPr>
          <w:rFonts w:hint="default" w:ascii="Arial Narrow" w:hAnsi="Arial Narrow" w:eastAsia="Calibri" w:cs="Arial Narrow"/>
          <w:color w:val="000000"/>
          <w:sz w:val="22"/>
          <w:szCs w:val="22"/>
        </w:rPr>
        <w:t xml:space="preserve">gradbeno-tehnične </w:t>
      </w:r>
      <w:r>
        <w:rPr>
          <w:rFonts w:hint="default" w:ascii="Arial Narrow" w:hAnsi="Arial Narrow" w:eastAsia="Calibri" w:cs="Arial Narrow"/>
          <w:color w:val="000000"/>
          <w:spacing w:val="11"/>
          <w:sz w:val="22"/>
          <w:szCs w:val="22"/>
        </w:rPr>
        <w:t xml:space="preserve"> </w:t>
      </w:r>
      <w:r>
        <w:rPr>
          <w:rFonts w:hint="default" w:ascii="Arial Narrow" w:hAnsi="Arial Narrow" w:eastAsia="Calibri" w:cs="Arial Narrow"/>
          <w:color w:val="000000"/>
          <w:sz w:val="22"/>
          <w:szCs w:val="22"/>
        </w:rPr>
        <w:t xml:space="preserve">solidnosti </w:t>
      </w:r>
      <w:r>
        <w:rPr>
          <w:rFonts w:hint="default" w:ascii="Arial Narrow" w:hAnsi="Arial Narrow" w:eastAsia="Calibri" w:cs="Arial Narrow"/>
          <w:color w:val="000000"/>
          <w:spacing w:val="11"/>
          <w:sz w:val="22"/>
          <w:szCs w:val="22"/>
        </w:rPr>
        <w:t xml:space="preserve"> </w:t>
      </w:r>
      <w:r>
        <w:rPr>
          <w:rFonts w:hint="default" w:ascii="Arial Narrow" w:hAnsi="Arial Narrow" w:eastAsia="Calibri" w:cs="Arial Narrow"/>
          <w:color w:val="000000"/>
          <w:sz w:val="22"/>
          <w:szCs w:val="22"/>
        </w:rPr>
        <w:t>in ekonomičnosti ter okoljskih zahtev.</w:t>
      </w:r>
    </w:p>
    <w:p w14:paraId="5B25D985">
      <w:pPr>
        <w:spacing w:before="1" w:beforeLines="0" w:afterLines="0" w:line="245"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lang w:val="sl-SI"/>
        </w:rPr>
        <w:t>Še posebej je u</w:t>
      </w:r>
      <w:r>
        <w:rPr>
          <w:rFonts w:hint="default" w:ascii="Arial Narrow" w:hAnsi="Arial Narrow" w:eastAsia="Calibri" w:cs="Arial Narrow"/>
          <w:color w:val="000000"/>
          <w:sz w:val="22"/>
          <w:szCs w:val="22"/>
        </w:rPr>
        <w:t>poštevati potrebno predpisane bistvene zahteve</w:t>
      </w:r>
      <w:r>
        <w:rPr>
          <w:rFonts w:hint="default" w:ascii="Arial Narrow" w:hAnsi="Arial Narrow" w:eastAsia="Calibri" w:cs="Arial Narrow"/>
          <w:color w:val="000000"/>
          <w:sz w:val="22"/>
          <w:szCs w:val="22"/>
          <w:lang w:val="sl-SI"/>
        </w:rPr>
        <w:t xml:space="preserve"> po GZ-1</w:t>
      </w:r>
      <w:r>
        <w:rPr>
          <w:rFonts w:hint="default" w:ascii="Arial Narrow" w:hAnsi="Arial Narrow" w:eastAsia="Calibri" w:cs="Arial Narrow"/>
          <w:color w:val="000000"/>
          <w:sz w:val="22"/>
          <w:szCs w:val="22"/>
        </w:rPr>
        <w:t>:</w:t>
      </w:r>
    </w:p>
    <w:p w14:paraId="7D32DD3A">
      <w:pPr>
        <w:spacing w:beforeLines="0" w:afterLines="0" w:line="245" w:lineRule="exact"/>
        <w:ind w:left="360"/>
        <w:jc w:val="left"/>
        <w:rPr>
          <w:rFonts w:hint="default" w:ascii="Arial Narrow" w:hAnsi="Arial Narrow" w:cs="Arial Narrow"/>
          <w:sz w:val="22"/>
          <w:szCs w:val="22"/>
        </w:rPr>
      </w:pPr>
      <w:r>
        <w:rPr>
          <w:rFonts w:hint="default" w:ascii="Arial Narrow" w:hAnsi="Arial Narrow" w:eastAsia="Times New Roman" w:cs="Arial Narrow"/>
          <w:color w:val="000000"/>
          <w:sz w:val="22"/>
          <w:szCs w:val="22"/>
        </w:rPr>
        <w:t>-</w:t>
      </w:r>
      <w:r>
        <w:rPr>
          <w:rFonts w:hint="default" w:ascii="Arial Narrow" w:hAnsi="Arial Narrow" w:cs="Arial Narrow"/>
          <w:color w:val="000000"/>
          <w:sz w:val="22"/>
          <w:szCs w:val="22"/>
        </w:rPr>
        <w:t xml:space="preserve"> </w:t>
      </w:r>
      <w:r>
        <w:rPr>
          <w:rFonts w:hint="default" w:ascii="Arial Narrow" w:hAnsi="Arial Narrow" w:eastAsia="Calibri" w:cs="Arial Narrow"/>
          <w:color w:val="000000"/>
          <w:sz w:val="22"/>
          <w:szCs w:val="22"/>
        </w:rPr>
        <w:t>trdnost in stabilnost,</w:t>
      </w:r>
    </w:p>
    <w:p w14:paraId="20717771">
      <w:pPr>
        <w:spacing w:beforeLines="0" w:afterLines="0" w:line="245" w:lineRule="exact"/>
        <w:ind w:left="360"/>
        <w:jc w:val="left"/>
        <w:rPr>
          <w:rFonts w:hint="default" w:ascii="Arial Narrow" w:hAnsi="Arial Narrow" w:cs="Arial Narrow"/>
          <w:sz w:val="22"/>
          <w:szCs w:val="22"/>
        </w:rPr>
      </w:pPr>
      <w:r>
        <w:rPr>
          <w:rFonts w:hint="default" w:ascii="Arial Narrow" w:hAnsi="Arial Narrow" w:eastAsia="Times New Roman" w:cs="Arial Narrow"/>
          <w:color w:val="000000"/>
          <w:sz w:val="22"/>
          <w:szCs w:val="22"/>
        </w:rPr>
        <w:t>-</w:t>
      </w:r>
      <w:r>
        <w:rPr>
          <w:rFonts w:hint="default" w:ascii="Arial Narrow" w:hAnsi="Arial Narrow" w:cs="Arial Narrow"/>
          <w:color w:val="000000"/>
          <w:sz w:val="22"/>
          <w:szCs w:val="22"/>
        </w:rPr>
        <w:t xml:space="preserve"> </w:t>
      </w:r>
      <w:r>
        <w:rPr>
          <w:rFonts w:hint="default" w:ascii="Arial Narrow" w:hAnsi="Arial Narrow" w:eastAsia="Calibri" w:cs="Arial Narrow"/>
          <w:color w:val="000000"/>
          <w:sz w:val="22"/>
          <w:szCs w:val="22"/>
        </w:rPr>
        <w:t>varnost pred požarom,</w:t>
      </w:r>
    </w:p>
    <w:p w14:paraId="790DFBBD">
      <w:pPr>
        <w:spacing w:beforeLines="0" w:afterLines="0" w:line="245" w:lineRule="exact"/>
        <w:ind w:left="360"/>
        <w:jc w:val="left"/>
        <w:rPr>
          <w:rFonts w:hint="default" w:ascii="Arial Narrow" w:hAnsi="Arial Narrow" w:cs="Arial Narrow"/>
          <w:sz w:val="22"/>
          <w:szCs w:val="22"/>
        </w:rPr>
      </w:pPr>
      <w:r>
        <w:rPr>
          <w:rFonts w:hint="default" w:ascii="Arial Narrow" w:hAnsi="Arial Narrow" w:eastAsia="Times New Roman" w:cs="Arial Narrow"/>
          <w:color w:val="000000"/>
          <w:sz w:val="22"/>
          <w:szCs w:val="22"/>
        </w:rPr>
        <w:t>-</w:t>
      </w:r>
      <w:r>
        <w:rPr>
          <w:rFonts w:hint="default" w:ascii="Arial Narrow" w:hAnsi="Arial Narrow" w:cs="Arial Narrow"/>
          <w:color w:val="000000"/>
          <w:sz w:val="22"/>
          <w:szCs w:val="22"/>
        </w:rPr>
        <w:t xml:space="preserve"> </w:t>
      </w:r>
      <w:r>
        <w:rPr>
          <w:rFonts w:hint="default" w:ascii="Arial Narrow" w:hAnsi="Arial Narrow" w:eastAsia="Calibri" w:cs="Arial Narrow"/>
          <w:color w:val="000000"/>
          <w:sz w:val="22"/>
          <w:szCs w:val="22"/>
        </w:rPr>
        <w:t>higienske, zdravstvene zahteve in varovanje okolja,</w:t>
      </w:r>
    </w:p>
    <w:p w14:paraId="6AD942D2">
      <w:pPr>
        <w:spacing w:beforeLines="0" w:afterLines="0" w:line="245" w:lineRule="exact"/>
        <w:ind w:left="360"/>
        <w:jc w:val="left"/>
        <w:rPr>
          <w:rFonts w:hint="default" w:ascii="Arial Narrow" w:hAnsi="Arial Narrow" w:cs="Arial Narrow"/>
          <w:sz w:val="22"/>
          <w:szCs w:val="22"/>
        </w:rPr>
      </w:pPr>
      <w:r>
        <w:rPr>
          <w:rFonts w:hint="default" w:ascii="Arial Narrow" w:hAnsi="Arial Narrow" w:eastAsia="Times New Roman" w:cs="Arial Narrow"/>
          <w:color w:val="000000"/>
          <w:sz w:val="22"/>
          <w:szCs w:val="22"/>
        </w:rPr>
        <w:t>-</w:t>
      </w:r>
      <w:r>
        <w:rPr>
          <w:rFonts w:hint="default" w:ascii="Arial Narrow" w:hAnsi="Arial Narrow" w:cs="Arial Narrow"/>
          <w:color w:val="000000"/>
          <w:sz w:val="22"/>
          <w:szCs w:val="22"/>
        </w:rPr>
        <w:t xml:space="preserve"> </w:t>
      </w:r>
      <w:r>
        <w:rPr>
          <w:rFonts w:hint="default" w:ascii="Arial Narrow" w:hAnsi="Arial Narrow" w:eastAsia="Calibri" w:cs="Arial Narrow"/>
          <w:color w:val="000000"/>
          <w:sz w:val="22"/>
          <w:szCs w:val="22"/>
        </w:rPr>
        <w:t>varnost pri uporabi,</w:t>
      </w:r>
    </w:p>
    <w:p w14:paraId="2364E59C">
      <w:pPr>
        <w:spacing w:beforeLines="0" w:afterLines="0" w:line="245" w:lineRule="exact"/>
        <w:ind w:left="360"/>
        <w:jc w:val="left"/>
        <w:rPr>
          <w:rFonts w:hint="default" w:ascii="Arial Narrow" w:hAnsi="Arial Narrow" w:cs="Arial Narrow"/>
          <w:sz w:val="22"/>
          <w:szCs w:val="22"/>
        </w:rPr>
      </w:pPr>
      <w:r>
        <w:rPr>
          <w:rFonts w:hint="default" w:ascii="Arial Narrow" w:hAnsi="Arial Narrow" w:eastAsia="Times New Roman" w:cs="Arial Narrow"/>
          <w:color w:val="000000"/>
          <w:sz w:val="22"/>
          <w:szCs w:val="22"/>
        </w:rPr>
        <w:t>-</w:t>
      </w:r>
      <w:r>
        <w:rPr>
          <w:rFonts w:hint="default" w:ascii="Arial Narrow" w:hAnsi="Arial Narrow" w:cs="Arial Narrow"/>
          <w:color w:val="000000"/>
          <w:sz w:val="22"/>
          <w:szCs w:val="22"/>
        </w:rPr>
        <w:t xml:space="preserve"> </w:t>
      </w:r>
      <w:r>
        <w:rPr>
          <w:rFonts w:hint="default" w:ascii="Arial Narrow" w:hAnsi="Arial Narrow" w:eastAsia="Calibri" w:cs="Arial Narrow"/>
          <w:color w:val="000000"/>
          <w:sz w:val="22"/>
          <w:szCs w:val="22"/>
        </w:rPr>
        <w:t>zaščita pred hrupom ter</w:t>
      </w:r>
    </w:p>
    <w:p w14:paraId="509222EF">
      <w:pPr>
        <w:spacing w:beforeLines="0" w:afterLines="0"/>
        <w:ind w:left="360"/>
        <w:jc w:val="left"/>
        <w:rPr>
          <w:rFonts w:hint="default" w:ascii="Arial Narrow" w:hAnsi="Arial Narrow" w:cs="Arial Narrow"/>
          <w:sz w:val="22"/>
          <w:szCs w:val="22"/>
        </w:rPr>
      </w:pPr>
      <w:r>
        <w:rPr>
          <w:rFonts w:hint="default" w:ascii="Arial Narrow" w:hAnsi="Arial Narrow" w:eastAsia="Times New Roman" w:cs="Arial Narrow"/>
          <w:color w:val="000000"/>
          <w:sz w:val="22"/>
          <w:szCs w:val="22"/>
        </w:rPr>
        <w:t>-</w:t>
      </w:r>
      <w:r>
        <w:rPr>
          <w:rFonts w:hint="default" w:ascii="Arial Narrow" w:hAnsi="Arial Narrow" w:cs="Arial Narrow"/>
          <w:color w:val="000000"/>
          <w:sz w:val="22"/>
          <w:szCs w:val="22"/>
        </w:rPr>
        <w:t xml:space="preserve"> </w:t>
      </w:r>
      <w:r>
        <w:rPr>
          <w:rFonts w:hint="default" w:ascii="Arial Narrow" w:hAnsi="Arial Narrow" w:eastAsia="Calibri" w:cs="Arial Narrow"/>
          <w:color w:val="000000"/>
          <w:sz w:val="22"/>
          <w:szCs w:val="22"/>
        </w:rPr>
        <w:t>varčevanje z energijo in toplotna zaščita.</w:t>
      </w:r>
    </w:p>
    <w:p w14:paraId="63237135">
      <w:pPr>
        <w:spacing w:before="196" w:beforeLines="0" w:afterLines="0" w:line="240"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Materiali in obdelave</w:t>
      </w:r>
    </w:p>
    <w:p w14:paraId="1E1708E2">
      <w:pPr>
        <w:spacing w:beforeLines="0" w:afterLines="0" w:line="211" w:lineRule="auto"/>
        <w:jc w:val="left"/>
        <w:rPr>
          <w:rFonts w:hint="default" w:ascii="Arial Narrow" w:hAnsi="Arial Narrow" w:cs="Arial Narrow"/>
          <w:sz w:val="22"/>
          <w:szCs w:val="22"/>
        </w:rPr>
      </w:pPr>
      <w:r>
        <w:rPr>
          <w:rFonts w:hint="default" w:ascii="Arial Narrow" w:hAnsi="Arial Narrow" w:eastAsia="Calibri" w:cs="Arial Narrow"/>
          <w:color w:val="000000"/>
          <w:sz w:val="22"/>
          <w:szCs w:val="22"/>
        </w:rPr>
        <w:t>Materiali, finalna obdelava površin in vgrajena oprema naj sledi zakonom, pravilnikom in standardom, ki so v povezavi s predmetom natečaja, predvsem pa tistim, ki obravnavajo program šolstva.</w:t>
      </w:r>
    </w:p>
    <w:p w14:paraId="0EF4079B">
      <w:pPr>
        <w:spacing w:beforeLines="0" w:afterLines="0" w:line="211" w:lineRule="auto"/>
        <w:ind w:right="45"/>
        <w:rPr>
          <w:rFonts w:hint="default" w:ascii="Arial Narrow" w:hAnsi="Arial Narrow" w:cs="Arial Narrow"/>
          <w:sz w:val="22"/>
          <w:szCs w:val="22"/>
        </w:rPr>
      </w:pPr>
      <w:r>
        <w:rPr>
          <w:rFonts w:hint="default" w:ascii="Arial Narrow" w:hAnsi="Arial Narrow" w:eastAsia="Calibri" w:cs="Arial Narrow"/>
          <w:color w:val="000000"/>
          <w:sz w:val="22"/>
          <w:szCs w:val="22"/>
        </w:rPr>
        <w:t>Materiali  so  pogojeni  s  konstrukcijsko  zasnovo  in  energetsko  zasnovo  skoraj  nič  energijske  stavbe. Osnovni  princip  je  uporaba  naravnih  konstrukcijskih  gradbenih  materialov  ob  predpostavki,  da  se  ti dobro vzdržujejo in so odporni proti poškodbam.</w:t>
      </w:r>
    </w:p>
    <w:p w14:paraId="6BEC088B">
      <w:pPr>
        <w:spacing w:beforeLines="0" w:afterLines="0" w:line="244" w:lineRule="auto"/>
        <w:jc w:val="left"/>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Toplotna zaščita naj bo dosežena s pravilno izbiro materialov za gradnjo, termično izolacijo zunanjega oboda,  vse  v  skladu  s  predpisi  (Pravilnik  o  učinkoviti  rabi  energije  v  stavbah</w:t>
      </w:r>
      <w:r>
        <w:rPr>
          <w:rFonts w:hint="default" w:ascii="Arial Narrow" w:hAnsi="Arial Narrow" w:eastAsia="Calibri" w:cs="Arial Narrow"/>
          <w:color w:val="000000"/>
          <w:sz w:val="22"/>
          <w:szCs w:val="22"/>
          <w:lang w:val="sl-SI"/>
        </w:rPr>
        <w:t>)</w:t>
      </w:r>
      <w:r>
        <w:rPr>
          <w:rFonts w:hint="default" w:ascii="Arial Narrow" w:hAnsi="Arial Narrow" w:eastAsia="Calibri" w:cs="Arial Narrow"/>
          <w:color w:val="000000"/>
          <w:sz w:val="22"/>
          <w:szCs w:val="22"/>
        </w:rPr>
        <w:t>,  s pravilnim razmerjem med odprtinami in polnimi površinami ter zaščito fasadnih odprtin pred soncem, sončnimi  žarki,  premočno  svetlobo  in  vročino,  skladno  z  veljavnimi  predpisi.  Vsi  elementi  naj zagotavljajo enostavno ravnanje.</w:t>
      </w:r>
    </w:p>
    <w:p w14:paraId="745FF070">
      <w:pPr>
        <w:spacing w:beforeLines="0" w:afterLines="0" w:line="244" w:lineRule="auto"/>
        <w:jc w:val="left"/>
        <w:rPr>
          <w:rFonts w:hint="default" w:ascii="Arial Narrow" w:hAnsi="Arial Narrow" w:eastAsia="Calibri" w:cs="Arial Narrow"/>
          <w:color w:val="000000"/>
          <w:sz w:val="22"/>
          <w:szCs w:val="22"/>
          <w:lang w:val="sl-SI"/>
        </w:rPr>
      </w:pPr>
      <w:r>
        <w:rPr>
          <w:rFonts w:hint="default" w:ascii="Arial Narrow" w:hAnsi="Arial Narrow" w:eastAsia="Calibri" w:cs="Arial Narrow"/>
          <w:color w:val="000000"/>
          <w:sz w:val="22"/>
          <w:szCs w:val="22"/>
          <w:lang w:val="sl-SI"/>
        </w:rPr>
        <w:t>V skladu z veljavnimi predpisi s področja namestitev naprav za pridobivanje električne energije (ZUNPEOVE in Uredba o podrobnejših merilih za umeščanje naprav) bo potrebno v času projektiranja pridobiti mnenje o možnosti / obvezi namestitve fotonapetostnih naprav na streho objekta.</w:t>
      </w:r>
    </w:p>
    <w:p w14:paraId="0986CCDC">
      <w:pPr>
        <w:spacing w:beforeLines="0" w:afterLines="0" w:line="209" w:lineRule="auto"/>
        <w:ind w:right="45"/>
        <w:rPr>
          <w:rFonts w:hint="default" w:ascii="Arial Narrow" w:hAnsi="Arial Narrow" w:eastAsia="Calibri" w:cs="Arial Narrow"/>
          <w:color w:val="000000"/>
          <w:sz w:val="22"/>
          <w:szCs w:val="22"/>
        </w:rPr>
      </w:pPr>
    </w:p>
    <w:p w14:paraId="3F9095E6">
      <w:pPr>
        <w:spacing w:beforeLines="0" w:afterLines="0" w:line="209" w:lineRule="auto"/>
        <w:ind w:right="45"/>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Zaščita pred atmosferskimi vplivi in vlago naj bo izvedena tako, da bo objekt zaščiten pred prodorom atmosferskih  vod,  talne  vlage  in  prepiha,  v  horizontalni  in  vertikalni  smeri,  z  izvedbo  pravilnega odvajanja atmosferskih vod z vertikalnih in horizontalnih površin in streh ter pravilnim nagibom tlakov ob objektih, skladno z veljavnimi standardi in predpisi. Posebno pozornost je treba posvetiti vodotesni izvedbi kletnih prostorov.</w:t>
      </w:r>
    </w:p>
    <w:p w14:paraId="587E30AB">
      <w:pPr>
        <w:spacing w:beforeLines="0" w:afterLines="0" w:line="209" w:lineRule="auto"/>
        <w:ind w:right="45"/>
        <w:rPr>
          <w:rFonts w:hint="default" w:ascii="Arial Narrow" w:hAnsi="Arial Narrow" w:eastAsia="Calibri" w:cs="Arial Narrow"/>
          <w:color w:val="000000"/>
          <w:sz w:val="22"/>
          <w:szCs w:val="22"/>
        </w:rPr>
      </w:pPr>
    </w:p>
    <w:p w14:paraId="55AC6CC0">
      <w:pPr>
        <w:spacing w:beforeLines="0" w:afterLines="0" w:line="211"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Pri  zasnovi  konstrukcije  je  potrebno  upoštevati  Pravilnik  o  zaščiti  pred  hrupom  v  stavbah  U.l.  RS 10/2012. Natečajniki naj bodo pozorni na vgradnjo in kakovost oken s stališča varstva pred zunanjim hrupom. Zaščito pred notranjim hrupom je potrebno doseči s primerno zvočno izolacijo zunanjih in notranjih sten, medetažnih konstrukcij, prebojev in instalacijskih jaškov oziroma kanalov. Prostori, v katerih bodo naprave, ki povzročajo hrup, morajo biti ustrezno zvočno izolirani.</w:t>
      </w:r>
    </w:p>
    <w:p w14:paraId="0D6701E2">
      <w:pPr>
        <w:spacing w:beforeLines="0" w:afterLines="0" w:line="245" w:lineRule="auto"/>
        <w:jc w:val="left"/>
        <w:rPr>
          <w:rFonts w:hint="default" w:ascii="Arial Narrow" w:hAnsi="Arial Narrow" w:cs="Arial Narrow"/>
          <w:sz w:val="22"/>
          <w:szCs w:val="22"/>
        </w:rPr>
      </w:pPr>
      <w:r>
        <w:rPr>
          <w:rFonts w:hint="default" w:ascii="Arial Narrow" w:hAnsi="Arial Narrow" w:eastAsia="Calibri" w:cs="Arial Narrow"/>
          <w:color w:val="000000"/>
          <w:sz w:val="22"/>
          <w:szCs w:val="22"/>
        </w:rPr>
        <w:t>Za zmanjšanje hrupa je posebno pozornost potrebno posvetiti podu (predvsem na hodnikih), stenskim oblogam in stropnim panojem za dušenje zvoka (</w:t>
      </w:r>
      <w:r>
        <w:rPr>
          <w:rFonts w:hint="default" w:ascii="Arial Narrow" w:hAnsi="Arial Narrow" w:eastAsia="Calibri" w:cs="Arial Narrow"/>
          <w:color w:val="000000"/>
          <w:sz w:val="22"/>
          <w:szCs w:val="22"/>
          <w:lang w:val="sl-SI"/>
        </w:rPr>
        <w:t>učilnice</w:t>
      </w:r>
      <w:r>
        <w:rPr>
          <w:rFonts w:hint="default" w:ascii="Arial Narrow" w:hAnsi="Arial Narrow" w:eastAsia="Calibri" w:cs="Arial Narrow"/>
          <w:color w:val="000000"/>
          <w:sz w:val="22"/>
          <w:szCs w:val="22"/>
        </w:rPr>
        <w:t>).</w:t>
      </w:r>
    </w:p>
    <w:p w14:paraId="79EEC5EC">
      <w:pPr>
        <w:spacing w:beforeLines="0" w:afterLines="0"/>
        <w:jc w:val="left"/>
        <w:rPr>
          <w:rFonts w:hint="default" w:ascii="Arial Narrow" w:hAnsi="Arial Narrow" w:cs="Arial Narrow"/>
          <w:sz w:val="22"/>
          <w:szCs w:val="22"/>
        </w:rPr>
      </w:pPr>
    </w:p>
    <w:p w14:paraId="45CE8245">
      <w:pPr>
        <w:spacing w:beforeLines="0" w:afterLines="0" w:line="245" w:lineRule="auto"/>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Fasada</w:t>
      </w:r>
      <w:r>
        <w:rPr>
          <w:rFonts w:hint="default" w:ascii="Arial Narrow" w:hAnsi="Arial Narrow" w:eastAsia="Calibri" w:cs="Arial Narrow"/>
          <w:color w:val="000000"/>
          <w:sz w:val="22"/>
          <w:szCs w:val="22"/>
        </w:rPr>
        <w:t xml:space="preserve">  naj  bo  ustrezno  toplotno  izolirana.  Zagotavljati  mora  trajen  in  trajnosten  izgled  objekta  in ustrezno fizično odpornost.</w:t>
      </w:r>
    </w:p>
    <w:p w14:paraId="15AECE2C">
      <w:pPr>
        <w:spacing w:beforeLines="0" w:afterLines="0" w:line="244" w:lineRule="auto"/>
        <w:ind w:right="44"/>
        <w:rPr>
          <w:rFonts w:hint="default" w:ascii="Arial Narrow" w:hAnsi="Arial Narrow" w:eastAsia="Calibri" w:cs="Arial Narrow"/>
          <w:b/>
          <w:color w:val="000000"/>
          <w:sz w:val="22"/>
          <w:szCs w:val="22"/>
        </w:rPr>
      </w:pPr>
    </w:p>
    <w:p w14:paraId="540A8D25">
      <w:pPr>
        <w:spacing w:beforeLines="0" w:afterLines="0" w:line="244" w:lineRule="auto"/>
        <w:ind w:right="44"/>
        <w:rPr>
          <w:rFonts w:hint="default" w:ascii="Arial Narrow" w:hAnsi="Arial Narrow" w:eastAsia="Calibri" w:cs="Arial Narrow"/>
          <w:color w:val="000000"/>
          <w:sz w:val="22"/>
          <w:szCs w:val="22"/>
        </w:rPr>
      </w:pPr>
      <w:r>
        <w:rPr>
          <w:rFonts w:hint="default" w:ascii="Arial Narrow" w:hAnsi="Arial Narrow" w:eastAsia="Calibri" w:cs="Arial Narrow"/>
          <w:b/>
          <w:color w:val="000000"/>
          <w:sz w:val="22"/>
          <w:szCs w:val="22"/>
        </w:rPr>
        <w:t>Strehe</w:t>
      </w:r>
      <w:r>
        <w:rPr>
          <w:rFonts w:hint="default" w:ascii="Arial Narrow" w:hAnsi="Arial Narrow" w:eastAsia="Calibri" w:cs="Arial Narrow"/>
          <w:color w:val="000000"/>
          <w:sz w:val="22"/>
          <w:szCs w:val="22"/>
        </w:rPr>
        <w:t xml:space="preserve"> </w:t>
      </w:r>
      <w:r>
        <w:rPr>
          <w:rFonts w:hint="default" w:ascii="Arial Narrow" w:hAnsi="Arial Narrow" w:eastAsia="Calibri" w:cs="Arial Narrow"/>
          <w:color w:val="000000"/>
          <w:spacing w:val="4"/>
          <w:sz w:val="22"/>
          <w:szCs w:val="22"/>
        </w:rPr>
        <w:t xml:space="preserve"> </w:t>
      </w:r>
      <w:r>
        <w:rPr>
          <w:rFonts w:hint="default" w:ascii="Arial Narrow" w:hAnsi="Arial Narrow" w:eastAsia="Calibri" w:cs="Arial Narrow"/>
          <w:color w:val="000000"/>
          <w:sz w:val="22"/>
          <w:szCs w:val="22"/>
        </w:rPr>
        <w:t xml:space="preserve">je </w:t>
      </w:r>
      <w:r>
        <w:rPr>
          <w:rFonts w:hint="default" w:ascii="Arial Narrow" w:hAnsi="Arial Narrow" w:eastAsia="Calibri" w:cs="Arial Narrow"/>
          <w:color w:val="000000"/>
          <w:spacing w:val="4"/>
          <w:sz w:val="22"/>
          <w:szCs w:val="22"/>
        </w:rPr>
        <w:t xml:space="preserve"> </w:t>
      </w:r>
      <w:r>
        <w:rPr>
          <w:rFonts w:hint="default" w:ascii="Arial Narrow" w:hAnsi="Arial Narrow" w:eastAsia="Calibri" w:cs="Arial Narrow"/>
          <w:color w:val="000000"/>
          <w:sz w:val="22"/>
          <w:szCs w:val="22"/>
        </w:rPr>
        <w:t xml:space="preserve">potrebno </w:t>
      </w:r>
      <w:r>
        <w:rPr>
          <w:rFonts w:hint="default" w:ascii="Arial Narrow" w:hAnsi="Arial Narrow" w:eastAsia="Calibri" w:cs="Arial Narrow"/>
          <w:color w:val="000000"/>
          <w:spacing w:val="4"/>
          <w:sz w:val="22"/>
          <w:szCs w:val="22"/>
        </w:rPr>
        <w:t xml:space="preserve"> </w:t>
      </w:r>
      <w:r>
        <w:rPr>
          <w:rFonts w:hint="default" w:ascii="Arial Narrow" w:hAnsi="Arial Narrow" w:eastAsia="Calibri" w:cs="Arial Narrow"/>
          <w:color w:val="000000"/>
          <w:sz w:val="22"/>
          <w:szCs w:val="22"/>
        </w:rPr>
        <w:t xml:space="preserve">zasnovati </w:t>
      </w:r>
      <w:r>
        <w:rPr>
          <w:rFonts w:hint="default" w:ascii="Arial Narrow" w:hAnsi="Arial Narrow" w:eastAsia="Calibri" w:cs="Arial Narrow"/>
          <w:color w:val="000000"/>
          <w:spacing w:val="4"/>
          <w:sz w:val="22"/>
          <w:szCs w:val="22"/>
        </w:rPr>
        <w:t xml:space="preserve"> </w:t>
      </w:r>
      <w:r>
        <w:rPr>
          <w:rFonts w:hint="default" w:ascii="Arial Narrow" w:hAnsi="Arial Narrow" w:eastAsia="Calibri" w:cs="Arial Narrow"/>
          <w:color w:val="000000"/>
          <w:sz w:val="22"/>
          <w:szCs w:val="22"/>
        </w:rPr>
        <w:t xml:space="preserve">tako, </w:t>
      </w:r>
      <w:r>
        <w:rPr>
          <w:rFonts w:hint="default" w:ascii="Arial Narrow" w:hAnsi="Arial Narrow" w:eastAsia="Calibri" w:cs="Arial Narrow"/>
          <w:color w:val="000000"/>
          <w:spacing w:val="4"/>
          <w:sz w:val="22"/>
          <w:szCs w:val="22"/>
        </w:rPr>
        <w:t xml:space="preserve"> </w:t>
      </w:r>
      <w:r>
        <w:rPr>
          <w:rFonts w:hint="default" w:ascii="Arial Narrow" w:hAnsi="Arial Narrow" w:eastAsia="Calibri" w:cs="Arial Narrow"/>
          <w:color w:val="000000"/>
          <w:sz w:val="22"/>
          <w:szCs w:val="22"/>
        </w:rPr>
        <w:t xml:space="preserve">da </w:t>
      </w:r>
      <w:r>
        <w:rPr>
          <w:rFonts w:hint="default" w:ascii="Arial Narrow" w:hAnsi="Arial Narrow" w:eastAsia="Calibri" w:cs="Arial Narrow"/>
          <w:color w:val="000000"/>
          <w:spacing w:val="4"/>
          <w:sz w:val="22"/>
          <w:szCs w:val="22"/>
        </w:rPr>
        <w:t xml:space="preserve"> </w:t>
      </w:r>
      <w:r>
        <w:rPr>
          <w:rFonts w:hint="default" w:ascii="Arial Narrow" w:hAnsi="Arial Narrow" w:eastAsia="Calibri" w:cs="Arial Narrow"/>
          <w:color w:val="000000"/>
          <w:sz w:val="22"/>
          <w:szCs w:val="22"/>
        </w:rPr>
        <w:t xml:space="preserve">zadoščajo </w:t>
      </w:r>
      <w:r>
        <w:rPr>
          <w:rFonts w:hint="default" w:ascii="Arial Narrow" w:hAnsi="Arial Narrow" w:eastAsia="Calibri" w:cs="Arial Narrow"/>
          <w:color w:val="000000"/>
          <w:spacing w:val="4"/>
          <w:sz w:val="22"/>
          <w:szCs w:val="22"/>
        </w:rPr>
        <w:t xml:space="preserve"> </w:t>
      </w:r>
      <w:r>
        <w:rPr>
          <w:rFonts w:hint="default" w:ascii="Arial Narrow" w:hAnsi="Arial Narrow" w:eastAsia="Calibri" w:cs="Arial Narrow"/>
          <w:color w:val="000000"/>
          <w:sz w:val="22"/>
          <w:szCs w:val="22"/>
        </w:rPr>
        <w:t xml:space="preserve">gradbeno-fizikalnim </w:t>
      </w:r>
      <w:r>
        <w:rPr>
          <w:rFonts w:hint="default" w:ascii="Arial Narrow" w:hAnsi="Arial Narrow" w:eastAsia="Calibri" w:cs="Arial Narrow"/>
          <w:color w:val="000000"/>
          <w:spacing w:val="4"/>
          <w:sz w:val="22"/>
          <w:szCs w:val="22"/>
        </w:rPr>
        <w:t xml:space="preserve"> </w:t>
      </w:r>
      <w:r>
        <w:rPr>
          <w:rFonts w:hint="default" w:ascii="Arial Narrow" w:hAnsi="Arial Narrow" w:eastAsia="Calibri" w:cs="Arial Narrow"/>
          <w:color w:val="000000"/>
          <w:sz w:val="22"/>
          <w:szCs w:val="22"/>
        </w:rPr>
        <w:t xml:space="preserve">zahtevam, </w:t>
      </w:r>
      <w:r>
        <w:rPr>
          <w:rFonts w:hint="default" w:ascii="Arial Narrow" w:hAnsi="Arial Narrow" w:eastAsia="Calibri" w:cs="Arial Narrow"/>
          <w:color w:val="000000"/>
          <w:spacing w:val="4"/>
          <w:sz w:val="22"/>
          <w:szCs w:val="22"/>
        </w:rPr>
        <w:t xml:space="preserve"> </w:t>
      </w:r>
      <w:r>
        <w:rPr>
          <w:rFonts w:hint="default" w:ascii="Arial Narrow" w:hAnsi="Arial Narrow" w:eastAsia="Calibri" w:cs="Arial Narrow"/>
          <w:color w:val="000000"/>
          <w:sz w:val="22"/>
          <w:szCs w:val="22"/>
        </w:rPr>
        <w:t>posebnostim podnebja  in  da  preprečujejo  pregrevanje  v  poletnih  mesecih.  Ustrezno  morajo  biti  odvodnjavane, odtoki  naj  bodo  primerno  dimenzionirani.  Strehe,  ki  z  neto  površino  presegajo  velikost  določeno  v prostorskem aktu, morajo biti ozelenjene.</w:t>
      </w:r>
    </w:p>
    <w:p w14:paraId="428EFCF0">
      <w:pPr>
        <w:spacing w:beforeLines="0" w:afterLines="0" w:line="244" w:lineRule="auto"/>
        <w:ind w:right="44"/>
        <w:rPr>
          <w:rFonts w:hint="default" w:ascii="Arial Narrow" w:hAnsi="Arial Narrow" w:eastAsia="Calibri" w:cs="Arial Narrow"/>
          <w:color w:val="000000"/>
          <w:sz w:val="22"/>
          <w:szCs w:val="22"/>
        </w:rPr>
      </w:pPr>
    </w:p>
    <w:p w14:paraId="5C7345D9">
      <w:pPr>
        <w:spacing w:beforeLines="0" w:afterLines="0" w:line="245" w:lineRule="auto"/>
        <w:ind w:right="44"/>
        <w:rPr>
          <w:rFonts w:hint="default" w:ascii="Arial Narrow" w:hAnsi="Arial Narrow" w:cs="Arial Narrow"/>
          <w:sz w:val="22"/>
          <w:szCs w:val="22"/>
        </w:rPr>
      </w:pPr>
      <w:r>
        <w:rPr>
          <w:rFonts w:hint="default" w:ascii="Arial Narrow" w:hAnsi="Arial Narrow" w:eastAsia="Calibri" w:cs="Arial Narrow"/>
          <w:b/>
          <w:color w:val="000000"/>
          <w:sz w:val="22"/>
          <w:szCs w:val="22"/>
        </w:rPr>
        <w:t>Okna</w:t>
      </w:r>
      <w:r>
        <w:rPr>
          <w:rFonts w:hint="default" w:ascii="Arial Narrow" w:hAnsi="Arial Narrow" w:eastAsia="Calibri" w:cs="Arial Narrow"/>
          <w:color w:val="000000"/>
          <w:sz w:val="22"/>
          <w:szCs w:val="22"/>
        </w:rPr>
        <w:t xml:space="preserve">  morajo  omogočiti  zadostno  osvetlitev  prostorov.  Prevelike  zunanje  steklene  površine  niso zaželene.  Okna  morajo  zadostiti  veljavnim  predpisom  za  zvočno  in  toplotno  izolativnost,  posebna pozornost  naj  bo  namenjena  zvočni  zaščiti  pred  hrupom.  Okna  naj  bodo  izvedena  iz kvalitetnih in trajnih materialov (predvidoma aluminijasti okvir</w:t>
      </w:r>
      <w:r>
        <w:rPr>
          <w:rFonts w:hint="default" w:ascii="Arial Narrow" w:hAnsi="Arial Narrow" w:eastAsia="Calibri" w:cs="Arial Narrow"/>
          <w:color w:val="000000"/>
          <w:sz w:val="22"/>
          <w:szCs w:val="22"/>
          <w:lang w:val="sl-SI"/>
        </w:rPr>
        <w:t xml:space="preserve"> ali les+alu</w:t>
      </w:r>
      <w:r>
        <w:rPr>
          <w:rFonts w:hint="default" w:ascii="Arial Narrow" w:hAnsi="Arial Narrow" w:eastAsia="Calibri" w:cs="Arial Narrow"/>
          <w:color w:val="000000"/>
          <w:sz w:val="22"/>
          <w:szCs w:val="22"/>
        </w:rPr>
        <w:t>). Omogočeno naj bo čim enostavnejše čiščenje (z notranje strani zasteklitve) in vzdrževanje. V splošnem to pomeni, da mora vsaj 1/3 oken (v določenem rastru) omogočati odpiranje. Eventualne zasteklitve parapetnih delov in vse zasteklitve v nivoju terena morajo biti izvedene iz varnostnega stekla. Število steklenih površin določajo minimalni standardi osvetlitve, po drugi strani pa tudi ekonomičnost. Okna naj bodo opremljena s ključavnicami, ki bodo omogočale nagibno odpiranje oken.</w:t>
      </w:r>
    </w:p>
    <w:p w14:paraId="338C30EF">
      <w:pPr>
        <w:spacing w:beforeLines="0" w:afterLines="0" w:line="244" w:lineRule="auto"/>
        <w:ind w:right="44"/>
        <w:rPr>
          <w:rFonts w:hint="default" w:ascii="Arial Narrow" w:hAnsi="Arial Narrow" w:eastAsia="Calibri" w:cs="Arial Narrow"/>
          <w:color w:val="000000"/>
          <w:sz w:val="22"/>
          <w:szCs w:val="22"/>
        </w:rPr>
      </w:pPr>
    </w:p>
    <w:p w14:paraId="2311ED16">
      <w:pPr>
        <w:spacing w:beforeLines="0" w:afterLines="0" w:line="245"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Za  preprečevanje  pregrevanja  se  predvidijo  zunanja  senčila,  ki  obenem  omogočajo  zatemnitev prostora. Možna je kombinacija z dodatnim notranjim senčilom, kjer le-to preprečuje bleščanje (če je notranje senčilo žaluzija ali rolo zavesa, mora imeti vodilo). Kjer senčila niso potrebna (severna stran), je  potrebno  zagotoviti  delno  zatemnitev  prostora  z  notranjimi  senčili.  Upravljanje  senčil  naj  bo električno.</w:t>
      </w:r>
    </w:p>
    <w:p w14:paraId="4EAA442F">
      <w:pPr>
        <w:spacing w:beforeLines="0" w:afterLines="0" w:line="208" w:lineRule="auto"/>
        <w:ind w:right="44"/>
        <w:rPr>
          <w:rFonts w:hint="default" w:ascii="Arial Narrow" w:hAnsi="Arial Narrow" w:eastAsia="Calibri" w:cs="Arial Narrow"/>
          <w:color w:val="000000"/>
          <w:sz w:val="22"/>
          <w:szCs w:val="22"/>
        </w:rPr>
      </w:pPr>
    </w:p>
    <w:p w14:paraId="62ED141D">
      <w:pPr>
        <w:spacing w:beforeLines="0" w:afterLines="0" w:line="208"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V  šolskih  prostorih  naj  se  uporabljajo  materiali,  ki  niso  vir  prahu,  prah  zadržujejo  ali  pa  ga  statično vežejo  (zavese,  stene  obloge  ipd.).    Materiali  naj  bodo  taki,  da  se  dobro  vzdržujejo  in  so  čim  bolj odporni proti poškodbam.</w:t>
      </w:r>
    </w:p>
    <w:p w14:paraId="5F859FC2">
      <w:pPr>
        <w:spacing w:beforeLines="0" w:afterLines="0" w:line="245" w:lineRule="exact"/>
        <w:jc w:val="left"/>
        <w:rPr>
          <w:rFonts w:hint="default" w:ascii="Arial Narrow" w:hAnsi="Arial Narrow" w:eastAsia="Calibri" w:cs="Arial Narrow"/>
          <w:color w:val="000000"/>
          <w:sz w:val="22"/>
          <w:szCs w:val="22"/>
        </w:rPr>
      </w:pPr>
    </w:p>
    <w:p w14:paraId="116831A1">
      <w:pPr>
        <w:spacing w:before="1" w:beforeLines="0" w:afterLines="0" w:line="244"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Talni materiali</w:t>
      </w:r>
      <w:r>
        <w:rPr>
          <w:rFonts w:hint="default" w:ascii="Arial Narrow" w:hAnsi="Arial Narrow" w:eastAsia="Calibri" w:cs="Arial Narrow"/>
          <w:color w:val="000000"/>
          <w:sz w:val="22"/>
          <w:szCs w:val="22"/>
        </w:rPr>
        <w:t xml:space="preserve"> morajo ustrezati namenu in frekventnosti uporabe. Upoštevajo naj nedrsno obdelavo,</w:t>
      </w:r>
      <w:r>
        <w:rPr>
          <w:rFonts w:hint="default" w:ascii="Arial Narrow" w:hAnsi="Arial Narrow" w:eastAsia="Calibri" w:cs="Arial Narrow"/>
          <w:color w:val="000000"/>
          <w:sz w:val="22"/>
          <w:szCs w:val="22"/>
          <w:lang w:val="sl-SI"/>
        </w:rPr>
        <w:t xml:space="preserve"> </w:t>
      </w:r>
      <w:r>
        <w:rPr>
          <w:rFonts w:hint="default" w:ascii="Arial Narrow" w:hAnsi="Arial Narrow" w:eastAsia="Calibri" w:cs="Arial Narrow"/>
          <w:color w:val="000000"/>
          <w:sz w:val="22"/>
          <w:szCs w:val="22"/>
        </w:rPr>
        <w:t>enostavnost za vzdrževanje, neoporečno izvedbo za higiensko čiščenje posebej na stikih s steno.</w:t>
      </w:r>
    </w:p>
    <w:p w14:paraId="44F140D2">
      <w:pPr>
        <w:spacing w:beforeLines="0" w:afterLines="0" w:line="245"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V  učilnicah  pri  umivalnikih  mora  biti  tlak odporen  na  močenje.  Tlak  pisarniških  prostorov  naj  bo primeren za mokro vzdrževanje. Tlak zbornice in knjižnice mora biti odporen za visoke obremenitve, na obrabo zaradi koleščkov stolov.</w:t>
      </w:r>
    </w:p>
    <w:p w14:paraId="64B853AA">
      <w:pPr>
        <w:spacing w:beforeLines="0" w:afterLines="0"/>
        <w:jc w:val="left"/>
        <w:rPr>
          <w:rFonts w:hint="default" w:ascii="Arial Narrow" w:hAnsi="Arial Narrow" w:eastAsia="Calibri" w:cs="Arial Narrow"/>
          <w:color w:val="000000"/>
          <w:sz w:val="22"/>
          <w:szCs w:val="22"/>
        </w:rPr>
      </w:pPr>
    </w:p>
    <w:p w14:paraId="582BDECA">
      <w:pPr>
        <w:spacing w:beforeLines="0" w:afterLines="0" w:line="211" w:lineRule="auto"/>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Stene</w:t>
      </w:r>
      <w:r>
        <w:rPr>
          <w:rFonts w:hint="default" w:ascii="Arial Narrow" w:hAnsi="Arial Narrow" w:eastAsia="Calibri" w:cs="Arial Narrow"/>
          <w:color w:val="000000"/>
          <w:sz w:val="22"/>
          <w:szCs w:val="22"/>
        </w:rPr>
        <w:t xml:space="preserve">  naj  omogočajo  možnost  higienskega  vzdrževanje,  zagotavljajo  naj  zaščito  proti  obrabi  in udarcem (uporaba zaščitnih oblog, profil).</w:t>
      </w:r>
    </w:p>
    <w:p w14:paraId="0749C50F">
      <w:pPr>
        <w:spacing w:beforeLines="0" w:afterLines="0" w:line="244" w:lineRule="exact"/>
        <w:jc w:val="left"/>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Vse morebitne zasteklitve v interierju naj se izvedejo iz varnostnega stekla.</w:t>
      </w:r>
    </w:p>
    <w:p w14:paraId="7CBE81EA">
      <w:pPr>
        <w:spacing w:beforeLines="0" w:afterLines="0" w:line="244" w:lineRule="exact"/>
        <w:jc w:val="left"/>
        <w:rPr>
          <w:rFonts w:hint="default" w:ascii="Arial Narrow" w:hAnsi="Arial Narrow" w:eastAsia="Calibri" w:cs="Arial Narrow"/>
          <w:color w:val="000000"/>
          <w:sz w:val="22"/>
          <w:szCs w:val="22"/>
        </w:rPr>
      </w:pPr>
    </w:p>
    <w:p w14:paraId="29EC8763">
      <w:pPr>
        <w:spacing w:beforeLines="0" w:afterLines="0" w:line="211" w:lineRule="auto"/>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Mizarski izdelki</w:t>
      </w:r>
      <w:r>
        <w:rPr>
          <w:rFonts w:hint="default" w:ascii="Arial Narrow" w:hAnsi="Arial Narrow" w:eastAsia="Calibri" w:cs="Arial Narrow"/>
          <w:color w:val="000000"/>
          <w:sz w:val="22"/>
          <w:szCs w:val="22"/>
        </w:rPr>
        <w:t xml:space="preserve">: Vsa notranja vrata naj bodo iz trdega lesa. Krila naj bodo polna, </w:t>
      </w:r>
      <w:r>
        <w:rPr>
          <w:rFonts w:hint="default" w:ascii="Arial Narrow" w:hAnsi="Arial Narrow" w:eastAsia="Calibri" w:cs="Arial Narrow"/>
          <w:color w:val="000000"/>
          <w:sz w:val="22"/>
          <w:szCs w:val="22"/>
          <w:lang w:val="sl-SI"/>
        </w:rPr>
        <w:t>v</w:t>
      </w:r>
      <w:r>
        <w:rPr>
          <w:rFonts w:hint="default" w:ascii="Arial Narrow" w:hAnsi="Arial Narrow" w:eastAsia="Calibri" w:cs="Arial Narrow"/>
          <w:color w:val="000000"/>
          <w:sz w:val="22"/>
          <w:szCs w:val="22"/>
        </w:rPr>
        <w:t>rata v učilnice naj imajo stransko svetlobo, ki je zastekljena z varnostnim steklom.</w:t>
      </w:r>
    </w:p>
    <w:p w14:paraId="2811F02A">
      <w:pPr>
        <w:spacing w:before="196" w:beforeLines="0" w:afterLines="0" w:line="240"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Normativne zahteve v zvezi z okoljsko zmogljivostjo</w:t>
      </w:r>
    </w:p>
    <w:p w14:paraId="53C3532F">
      <w:pPr>
        <w:spacing w:beforeLines="0" w:afterLines="0" w:line="211" w:lineRule="auto"/>
        <w:jc w:val="left"/>
        <w:rPr>
          <w:rFonts w:hint="default" w:ascii="Arial Narrow" w:hAnsi="Arial Narrow" w:cs="Arial Narrow"/>
          <w:sz w:val="22"/>
          <w:szCs w:val="22"/>
        </w:rPr>
      </w:pPr>
      <w:r>
        <w:rPr>
          <w:rFonts w:hint="default" w:ascii="Arial Narrow" w:hAnsi="Arial Narrow" w:eastAsia="Calibri" w:cs="Arial Narrow"/>
          <w:color w:val="000000"/>
          <w:sz w:val="22"/>
          <w:szCs w:val="22"/>
        </w:rPr>
        <w:t>Vsi  predvideni  gradbeni  materiali  in  proizvodi  morajo  biti  skladni  z  zahtevami  Zakona  o  gradbenih proizvodih (ZGpro-1, Ur.l. RS št. 82/2013).</w:t>
      </w:r>
    </w:p>
    <w:p w14:paraId="55D71580">
      <w:pPr>
        <w:spacing w:beforeLines="0" w:afterLines="0" w:line="211" w:lineRule="auto"/>
        <w:jc w:val="left"/>
        <w:rPr>
          <w:rFonts w:hint="default" w:ascii="Arial Narrow" w:hAnsi="Arial Narrow" w:cs="Arial Narrow"/>
          <w:sz w:val="22"/>
          <w:szCs w:val="22"/>
        </w:rPr>
      </w:pPr>
      <w:r>
        <w:rPr>
          <w:rFonts w:hint="default" w:ascii="Arial Narrow" w:hAnsi="Arial Narrow" w:eastAsia="Calibri" w:cs="Arial Narrow"/>
          <w:color w:val="000000"/>
          <w:sz w:val="22"/>
          <w:szCs w:val="22"/>
        </w:rPr>
        <w:t>Natečajne  rešitve  naj  bodo  zasnovane  skladno  z  Uredbo  o  zelenem  javnem  naročanju  in  naj vključujejo rešitve glede:</w:t>
      </w:r>
    </w:p>
    <w:p w14:paraId="05FA41A7">
      <w:pPr>
        <w:spacing w:beforeLines="0" w:afterLines="0" w:line="240" w:lineRule="exact"/>
        <w:ind w:left="709"/>
        <w:jc w:val="left"/>
        <w:rPr>
          <w:rFonts w:hint="default" w:ascii="Arial Narrow" w:hAnsi="Arial Narrow" w:cs="Arial Narrow"/>
          <w:sz w:val="22"/>
          <w:szCs w:val="22"/>
        </w:rPr>
      </w:pPr>
      <w:r>
        <w:rPr>
          <w:rFonts w:hint="default" w:ascii="Arial Narrow" w:hAnsi="Arial Narrow" w:eastAsia="Calibri" w:cs="Arial Narrow"/>
          <w:color w:val="000000"/>
          <w:sz w:val="22"/>
          <w:szCs w:val="22"/>
        </w:rPr>
        <w:t>– učinkovite rabe energije in obnovljivih virov energije,</w:t>
      </w:r>
    </w:p>
    <w:p w14:paraId="249C2762">
      <w:pPr>
        <w:spacing w:beforeLines="0" w:afterLines="0" w:line="245" w:lineRule="exact"/>
        <w:ind w:left="709"/>
        <w:jc w:val="left"/>
        <w:rPr>
          <w:rFonts w:hint="default" w:ascii="Arial Narrow" w:hAnsi="Arial Narrow" w:cs="Arial Narrow"/>
          <w:sz w:val="22"/>
          <w:szCs w:val="22"/>
        </w:rPr>
      </w:pPr>
      <w:r>
        <w:rPr>
          <w:rFonts w:hint="default" w:ascii="Arial Narrow" w:hAnsi="Arial Narrow" w:eastAsia="Calibri" w:cs="Arial Narrow"/>
          <w:color w:val="000000"/>
          <w:sz w:val="22"/>
          <w:szCs w:val="22"/>
        </w:rPr>
        <w:t>– učinkovite rabe vode,</w:t>
      </w:r>
    </w:p>
    <w:p w14:paraId="755BDEBB">
      <w:pPr>
        <w:spacing w:beforeLines="0" w:afterLines="0" w:line="245" w:lineRule="exact"/>
        <w:ind w:left="709"/>
        <w:jc w:val="left"/>
        <w:rPr>
          <w:rFonts w:hint="default" w:ascii="Arial Narrow" w:hAnsi="Arial Narrow" w:cs="Arial Narrow"/>
          <w:sz w:val="22"/>
          <w:szCs w:val="22"/>
        </w:rPr>
      </w:pPr>
      <w:r>
        <w:rPr>
          <w:rFonts w:hint="default" w:ascii="Arial Narrow" w:hAnsi="Arial Narrow" w:eastAsia="Calibri" w:cs="Arial Narrow"/>
          <w:color w:val="000000"/>
          <w:sz w:val="22"/>
          <w:szCs w:val="22"/>
        </w:rPr>
        <w:t>– ravnanja z odpadki,</w:t>
      </w:r>
    </w:p>
    <w:p w14:paraId="4D631D94">
      <w:pPr>
        <w:spacing w:beforeLines="0" w:afterLines="0" w:line="245" w:lineRule="exact"/>
        <w:ind w:left="709"/>
        <w:jc w:val="left"/>
        <w:rPr>
          <w:rFonts w:hint="default" w:ascii="Arial Narrow" w:hAnsi="Arial Narrow" w:cs="Arial Narrow"/>
          <w:sz w:val="22"/>
          <w:szCs w:val="22"/>
        </w:rPr>
      </w:pPr>
      <w:r>
        <w:rPr>
          <w:rFonts w:hint="default" w:ascii="Arial Narrow" w:hAnsi="Arial Narrow" w:eastAsia="Calibri" w:cs="Arial Narrow"/>
          <w:color w:val="000000"/>
          <w:sz w:val="22"/>
          <w:szCs w:val="22"/>
        </w:rPr>
        <w:t>– zagotavljanja zdravih bivalnih in delovnih razmer ter,</w:t>
      </w:r>
    </w:p>
    <w:p w14:paraId="621C0B36">
      <w:pPr>
        <w:spacing w:beforeLines="0" w:afterLines="0"/>
        <w:ind w:left="709"/>
        <w:jc w:val="left"/>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 rabe okolju prijaznih gradbenih materialov in izdelkov,</w:t>
      </w:r>
    </w:p>
    <w:p w14:paraId="18672615">
      <w:pPr>
        <w:spacing w:beforeLines="0" w:afterLines="0" w:line="245"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 xml:space="preserve">Skladno  z  Uredbo  o  zelenem  javnem  naročanju  (Uradni  list  RS,  št. 51/17)  za  šolske  stavbe  mora znašati  delež  lesa  ali  lesnih  tvoriv  </w:t>
      </w:r>
      <w:r>
        <w:rPr>
          <w:rFonts w:hint="default" w:ascii="Arial Narrow" w:hAnsi="Arial Narrow" w:eastAsia="Calibri" w:cs="Arial Narrow"/>
          <w:b/>
          <w:color w:val="000000"/>
          <w:sz w:val="22"/>
          <w:szCs w:val="22"/>
        </w:rPr>
        <w:t xml:space="preserve">v  pohištvu  </w:t>
      </w:r>
      <w:r>
        <w:rPr>
          <w:rFonts w:hint="default" w:ascii="Arial Narrow" w:hAnsi="Arial Narrow" w:eastAsia="Calibri" w:cs="Arial Narrow"/>
          <w:color w:val="000000"/>
          <w:sz w:val="22"/>
          <w:szCs w:val="22"/>
        </w:rPr>
        <w:t>najmanj  70  %  prostornine  uporabljenih  materialov  za izdelavo pohištva, razen če predpis ali namen uporabe to prepoveduje ali onemogoča;</w:t>
      </w:r>
    </w:p>
    <w:p w14:paraId="0DFC4DEA">
      <w:pPr>
        <w:spacing w:beforeLines="0" w:afterLines="0" w:line="245" w:lineRule="auto"/>
        <w:ind w:right="44"/>
        <w:rPr>
          <w:rFonts w:hint="default" w:ascii="Arial Narrow" w:hAnsi="Arial Narrow" w:eastAsia="Calibri" w:cs="Arial Narrow"/>
          <w:color w:val="000000"/>
          <w:sz w:val="22"/>
          <w:szCs w:val="22"/>
        </w:rPr>
      </w:pPr>
    </w:p>
    <w:p w14:paraId="649DB5E4">
      <w:pPr>
        <w:spacing w:beforeLines="0" w:afterLines="0" w:line="245"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 xml:space="preserve">Natečajni  elaborat  mora  zajemati  tudi  opis,  iz  katerega  bo  razvidno  upoštevanje  načela  trajnostne gradnje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(na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področju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gradbeno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obrtniških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del,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strojnih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in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elektro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inštalacij).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Vodilo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 xml:space="preserve">naj </w:t>
      </w:r>
      <w:r>
        <w:rPr>
          <w:rFonts w:hint="default" w:ascii="Arial Narrow" w:hAnsi="Arial Narrow" w:eastAsia="Calibri" w:cs="Arial Narrow"/>
          <w:color w:val="000000"/>
          <w:spacing w:val="5"/>
          <w:sz w:val="22"/>
          <w:szCs w:val="22"/>
        </w:rPr>
        <w:t xml:space="preserve"> </w:t>
      </w:r>
      <w:r>
        <w:rPr>
          <w:rFonts w:hint="default" w:ascii="Arial Narrow" w:hAnsi="Arial Narrow" w:eastAsia="Calibri" w:cs="Arial Narrow"/>
          <w:color w:val="000000"/>
          <w:sz w:val="22"/>
          <w:szCs w:val="22"/>
        </w:rPr>
        <w:t>bo ekonomičnost v času gradnje, obratovanja in vzdrževanja objekta ter človeku prijazna gradnja v skladu z danostmi okolja.</w:t>
      </w:r>
    </w:p>
    <w:p w14:paraId="6366B6CD">
      <w:pPr>
        <w:spacing w:before="198" w:beforeLines="0" w:afterLines="0" w:line="245"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Strojne instalacije in oprema</w:t>
      </w:r>
    </w:p>
    <w:p w14:paraId="386DA5B2">
      <w:pPr>
        <w:spacing w:beforeLines="0" w:afterLines="0" w:line="243" w:lineRule="auto"/>
        <w:ind w:right="44"/>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 xml:space="preserve">Stavba  nove  </w:t>
      </w:r>
      <w:r>
        <w:rPr>
          <w:rFonts w:hint="default" w:ascii="Arial Narrow" w:hAnsi="Arial Narrow" w:eastAsia="Calibri" w:cs="Arial Narrow"/>
          <w:color w:val="000000"/>
          <w:sz w:val="22"/>
          <w:szCs w:val="22"/>
          <w:lang w:val="sl-SI"/>
        </w:rPr>
        <w:t>osnovne šole naj</w:t>
      </w:r>
      <w:r>
        <w:rPr>
          <w:rFonts w:hint="default" w:ascii="Arial Narrow" w:hAnsi="Arial Narrow" w:eastAsia="Calibri" w:cs="Arial Narrow"/>
          <w:color w:val="000000"/>
          <w:sz w:val="22"/>
          <w:szCs w:val="22"/>
        </w:rPr>
        <w:t xml:space="preserve"> bo  skoraj  nič  energijska.  Objekt  mora  biti  skladen  z  zahtevami  veljavne zakonodaje  in  predpisov.  Zasnova  stavbe  naj  bo  stroškovno  opravičljiva.  V  natečajni  rešitvi  je potrebno predvideti oz. opisati način ogrevanja, hlajenja in prezračevanja.</w:t>
      </w:r>
    </w:p>
    <w:p w14:paraId="0D8B07AA">
      <w:pPr>
        <w:spacing w:beforeLines="0" w:afterLines="0" w:line="211"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Vodilo pri snovanju energetske zasnove stavb naj bo optimalno razmerje med vloženimi sredstvi za izvedbo in vzdrževanjem ter njihovemu pozitivnemu doprinosu k stroškom obratovanja in zmanjšanju vpliva  na  okolje.  Investicijski  vložek  v  tehnološko  naprednejšo  in  evt.  dražjo  opremo,  naprave  in inštalacije naj bo racionalen (vključno s stroški vzdrževanja naj se povrne v obdobju 5-10 let).</w:t>
      </w:r>
    </w:p>
    <w:p w14:paraId="4996DC88">
      <w:pPr>
        <w:spacing w:beforeLines="0" w:afterLines="0" w:line="244" w:lineRule="auto"/>
        <w:ind w:right="47"/>
        <w:rPr>
          <w:rFonts w:hint="default" w:ascii="Arial Narrow" w:hAnsi="Arial Narrow" w:cs="Arial Narrow"/>
          <w:sz w:val="22"/>
          <w:szCs w:val="22"/>
        </w:rPr>
      </w:pPr>
      <w:r>
        <w:rPr>
          <w:rFonts w:hint="default" w:ascii="Arial Narrow" w:hAnsi="Arial Narrow" w:eastAsia="Calibri" w:cs="Arial Narrow"/>
          <w:color w:val="000000"/>
          <w:sz w:val="22"/>
          <w:szCs w:val="22"/>
        </w:rPr>
        <w:t>Vsi  prostori  naj  imajo  izveden  sistem  prisilnega  prezračevanja  s  klimatsko  napravo/napravami  z vgrajenim ploščnim toplotnim izmenjevalcem s stopnjo vračanja toplote zavrženega zraka vsaj 75 %. Klimati naj imajo integriran sistem za hlajenje zraka in naj se načrtujejo tako, da bo možno z ohlajenim vpihovanim zrakom dosegati v poletnem času po prostorih cca. 26°C. Zagotovljeno mora biti hlajenje prostorov brez prepiha.</w:t>
      </w:r>
    </w:p>
    <w:p w14:paraId="326F3CA4">
      <w:pPr>
        <w:spacing w:before="1" w:beforeLines="0" w:afterLines="0"/>
        <w:jc w:val="left"/>
        <w:rPr>
          <w:rFonts w:hint="default" w:ascii="Arial Narrow" w:hAnsi="Arial Narrow" w:cs="Arial Narrow"/>
          <w:sz w:val="22"/>
          <w:szCs w:val="22"/>
        </w:rPr>
      </w:pPr>
      <w:r>
        <w:rPr>
          <w:rFonts w:hint="default" w:ascii="Arial Narrow" w:hAnsi="Arial Narrow" w:eastAsia="Calibri" w:cs="Arial Narrow"/>
          <w:color w:val="000000"/>
          <w:sz w:val="22"/>
          <w:szCs w:val="22"/>
        </w:rPr>
        <w:t>V  toplejšem  letnem  obdobju  je  potrebno  preprečiti  pregrevanje  prostorov.  Skladno  s  predlogom  je</w:t>
      </w:r>
      <w:r>
        <w:rPr>
          <w:rFonts w:hint="default" w:ascii="Arial Narrow" w:hAnsi="Arial Narrow" w:eastAsia="Calibri" w:cs="Arial Narrow"/>
          <w:color w:val="000000"/>
          <w:sz w:val="22"/>
          <w:szCs w:val="22"/>
          <w:lang w:val="sl-SI"/>
        </w:rPr>
        <w:t xml:space="preserve"> </w:t>
      </w:r>
      <w:r>
        <w:rPr>
          <w:rFonts w:hint="default" w:ascii="Arial Narrow" w:hAnsi="Arial Narrow" w:eastAsia="Calibri" w:cs="Arial Narrow"/>
          <w:color w:val="000000"/>
          <w:sz w:val="22"/>
          <w:szCs w:val="22"/>
        </w:rPr>
        <w:t>potrebno načrtovati primerne tehnične prostore (primerne velikosti in primerno število).</w:t>
      </w:r>
    </w:p>
    <w:p w14:paraId="0460279B">
      <w:pPr>
        <w:spacing w:beforeLines="0" w:afterLines="0" w:line="208"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Topla  sanitarna  voda  naj  se  pripravlja  centralno v pripadajočih  kotlovnicah. Velikost  grelnikov  naj  se  določi  na  osnovi  izračuna  za  tovrstne  objekte vezano na število otrok/uporabnikov. Sistem tople sanitarne vode naj ima izveden vod za cirkulacijo.</w:t>
      </w:r>
    </w:p>
    <w:p w14:paraId="5AA1CE4A">
      <w:pPr>
        <w:spacing w:beforeLines="0" w:afterLines="0"/>
        <w:jc w:val="left"/>
        <w:rPr>
          <w:rFonts w:hint="default" w:ascii="Arial Narrow" w:hAnsi="Arial Narrow" w:cs="Arial Narrow"/>
          <w:sz w:val="22"/>
          <w:szCs w:val="22"/>
        </w:rPr>
      </w:pPr>
      <w:r>
        <w:rPr>
          <w:rFonts w:hint="default" w:ascii="Arial Narrow" w:hAnsi="Arial Narrow" w:eastAsia="Calibri" w:cs="Arial Narrow"/>
          <w:color w:val="000000"/>
          <w:sz w:val="22"/>
          <w:szCs w:val="22"/>
        </w:rPr>
        <w:t>Sistemi krmiljenja naj bodo centralni.</w:t>
      </w:r>
    </w:p>
    <w:p w14:paraId="0845F944">
      <w:pPr>
        <w:spacing w:before="167" w:beforeLines="0" w:afterLines="0" w:line="245"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Elektro instalacije in oprema</w:t>
      </w:r>
    </w:p>
    <w:p w14:paraId="1F7752DB">
      <w:pPr>
        <w:spacing w:beforeLines="0" w:afterLines="0" w:line="245" w:lineRule="auto"/>
        <w:jc w:val="left"/>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Potrebno je zasnovati energetsko varčno in stroškovno opravičljivo zasnovo, glede na infrastrukturne kapacitete v območju. Skladno z Energetskim zakonom (EZ-1) in veljavnimi predpisi.</w:t>
      </w:r>
    </w:p>
    <w:p w14:paraId="7334B102">
      <w:pPr>
        <w:spacing w:before="1" w:beforeLines="0" w:afterLines="0" w:line="244"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NN PRIKLJUČEK</w:t>
      </w:r>
    </w:p>
    <w:p w14:paraId="5B0900A3">
      <w:pPr>
        <w:spacing w:beforeLines="0" w:afterLines="0"/>
        <w:jc w:val="left"/>
        <w:rPr>
          <w:rFonts w:hint="default" w:ascii="Arial Narrow" w:hAnsi="Arial Narrow" w:eastAsia="Calibri" w:cs="Arial Narrow"/>
          <w:color w:val="000000"/>
          <w:sz w:val="22"/>
          <w:szCs w:val="22"/>
          <w:lang w:val="sl-SI"/>
        </w:rPr>
      </w:pPr>
      <w:r>
        <w:rPr>
          <w:rFonts w:hint="default" w:ascii="Arial Narrow" w:hAnsi="Arial Narrow" w:eastAsia="Calibri" w:cs="Arial Narrow"/>
          <w:color w:val="000000"/>
          <w:sz w:val="22"/>
          <w:szCs w:val="22"/>
          <w:lang w:val="sl-SI"/>
        </w:rPr>
        <w:t xml:space="preserve">Vzpostavi se nov priključek, v času projektiranja bodo pridobljeni pogoji upravljalca omrežja Elektro Maribor. </w:t>
      </w:r>
    </w:p>
    <w:p w14:paraId="5295DE67">
      <w:pPr>
        <w:spacing w:before="1" w:beforeLines="0" w:afterLines="0" w:line="240"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TK PRIKLJUČEK</w:t>
      </w:r>
    </w:p>
    <w:p w14:paraId="0510246B">
      <w:pPr>
        <w:spacing w:beforeLines="0" w:afterLines="0"/>
        <w:jc w:val="left"/>
        <w:rPr>
          <w:rFonts w:hint="default" w:ascii="Arial Narrow" w:hAnsi="Arial Narrow" w:eastAsia="Calibri" w:cs="Arial Narrow"/>
          <w:color w:val="000000"/>
          <w:sz w:val="22"/>
          <w:szCs w:val="22"/>
          <w:lang w:val="sl-SI"/>
        </w:rPr>
      </w:pPr>
      <w:r>
        <w:rPr>
          <w:rFonts w:hint="default" w:ascii="Arial Narrow" w:hAnsi="Arial Narrow" w:eastAsia="Calibri" w:cs="Arial Narrow"/>
          <w:color w:val="000000"/>
          <w:sz w:val="22"/>
          <w:szCs w:val="22"/>
          <w:lang w:val="sl-SI"/>
        </w:rPr>
        <w:t>Vzpostavi se nov priključek.</w:t>
      </w:r>
    </w:p>
    <w:p w14:paraId="08D311C0">
      <w:pPr>
        <w:spacing w:before="1" w:beforeLines="0" w:afterLines="0" w:line="244"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REZERVNI VIR NAPAJANJA</w:t>
      </w:r>
    </w:p>
    <w:p w14:paraId="28B3892D">
      <w:pPr>
        <w:spacing w:beforeLines="0" w:afterLines="0" w:line="244"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Za potrebe</w:t>
      </w:r>
      <w:r>
        <w:rPr>
          <w:rFonts w:hint="default" w:ascii="Arial Narrow" w:hAnsi="Arial Narrow" w:eastAsia="Calibri" w:cs="Arial Narrow"/>
          <w:color w:val="000000"/>
          <w:sz w:val="22"/>
          <w:szCs w:val="22"/>
          <w:lang w:val="sl-SI"/>
        </w:rPr>
        <w:t xml:space="preserve"> osnovne šole</w:t>
      </w:r>
      <w:r>
        <w:rPr>
          <w:rFonts w:hint="default" w:ascii="Arial Narrow" w:hAnsi="Arial Narrow" w:eastAsia="Calibri" w:cs="Arial Narrow"/>
          <w:color w:val="000000"/>
          <w:sz w:val="22"/>
          <w:szCs w:val="22"/>
        </w:rPr>
        <w:t xml:space="preserve"> naj se predvidi priključitev manjšega diesel agregata, ki se naj samodejno zažene v  slučaju  izpada  omrežne  napetosti.  Z  diesel  agregatom  naj  bi  se  krila  potreba  po  neprekinjeni električni  energiji  za  naslednje  porabnike:  komunikacijski  center  –  računalniška  oprema,  obtočni tokokrogi in krmiljenje kurilnice, razsvetljava glavnih komunikacij do izhoda in drugi porabniki po potrebah šole. Ta raba je ocenjena na cca. 20 % priključne moči objekta.</w:t>
      </w:r>
    </w:p>
    <w:p w14:paraId="5DE267BD">
      <w:pPr>
        <w:spacing w:before="1" w:beforeLines="0" w:afterLines="0" w:line="244"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BREZPREKINITVENO NAPAJANJE</w:t>
      </w:r>
    </w:p>
    <w:p w14:paraId="513D3090">
      <w:pPr>
        <w:spacing w:beforeLines="0" w:afterLines="0" w:line="245" w:lineRule="auto"/>
        <w:ind w:right="44"/>
        <w:rPr>
          <w:rFonts w:hint="default" w:ascii="Arial Narrow" w:hAnsi="Arial Narrow" w:cs="Arial Narrow"/>
          <w:sz w:val="22"/>
          <w:szCs w:val="22"/>
        </w:rPr>
      </w:pPr>
      <w:r>
        <w:rPr>
          <w:rFonts w:hint="default" w:ascii="Arial Narrow" w:hAnsi="Arial Narrow" w:eastAsia="Calibri" w:cs="Arial Narrow"/>
          <w:color w:val="000000"/>
          <w:sz w:val="22"/>
          <w:szCs w:val="22"/>
        </w:rPr>
        <w:t xml:space="preserve">Za komunikacijski center </w:t>
      </w:r>
      <w:r>
        <w:rPr>
          <w:rFonts w:hint="default" w:ascii="Arial Narrow" w:hAnsi="Arial Narrow" w:eastAsia="Calibri" w:cs="Arial Narrow"/>
          <w:color w:val="000000"/>
          <w:sz w:val="22"/>
          <w:szCs w:val="22"/>
          <w:lang w:val="sl-SI"/>
        </w:rPr>
        <w:t>osnovne šole</w:t>
      </w:r>
      <w:r>
        <w:rPr>
          <w:rFonts w:hint="default" w:ascii="Arial Narrow" w:hAnsi="Arial Narrow" w:eastAsia="Calibri" w:cs="Arial Narrow"/>
          <w:color w:val="000000"/>
          <w:sz w:val="22"/>
          <w:szCs w:val="22"/>
        </w:rPr>
        <w:t xml:space="preserve"> (server in ostala periferna oprema) naj se predvidi tudi ustrezna UPS  naprava.  Osebni  računalniki,  po  kabinetih,  knjižnicah  in  specializiranih  učilnicah  se  lahko priključujejo preko lokalnih UPS naprav in se obravnavajo kot oprema.</w:t>
      </w:r>
    </w:p>
    <w:p w14:paraId="643AF2DD">
      <w:pPr>
        <w:spacing w:before="1" w:beforeLines="0" w:afterLines="0" w:line="244"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RAZSVETLJAVA</w:t>
      </w:r>
    </w:p>
    <w:p w14:paraId="36DB0F70">
      <w:pPr>
        <w:spacing w:beforeLines="0" w:afterLines="0" w:line="245" w:lineRule="auto"/>
        <w:jc w:val="left"/>
        <w:rPr>
          <w:rFonts w:hint="default" w:ascii="Arial Narrow" w:hAnsi="Arial Narrow" w:cs="Arial Narrow"/>
          <w:sz w:val="22"/>
          <w:szCs w:val="22"/>
        </w:rPr>
      </w:pPr>
      <w:r>
        <w:rPr>
          <w:rFonts w:hint="default" w:ascii="Arial Narrow" w:hAnsi="Arial Narrow" w:eastAsia="Calibri" w:cs="Arial Narrow"/>
          <w:color w:val="000000"/>
          <w:sz w:val="22"/>
          <w:szCs w:val="22"/>
        </w:rPr>
        <w:t>Splošna razsvetljava: Zahtevani nivo osvetljenosti naj bo v skladu s priporočili Slovenskega društva za razsvetljavo, ki podaja vrednosti srednje osvetljenosti za posamezne prostore za izobraževanje.</w:t>
      </w:r>
    </w:p>
    <w:p w14:paraId="2D271899">
      <w:pPr>
        <w:spacing w:before="1" w:beforeLines="0" w:afterLines="0" w:line="244"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TELEKOMUNIKACIJE</w:t>
      </w:r>
    </w:p>
    <w:p w14:paraId="5BB7C434">
      <w:pPr>
        <w:spacing w:beforeLines="0" w:afterLines="0" w:line="211" w:lineRule="auto"/>
        <w:jc w:val="left"/>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 xml:space="preserve">Računalniška omrežna infrastruktura in druga IKT infrastruktura </w:t>
      </w:r>
    </w:p>
    <w:p w14:paraId="42E59A3C">
      <w:pPr>
        <w:spacing w:beforeLines="0" w:afterLines="0" w:line="211" w:lineRule="auto"/>
        <w:jc w:val="left"/>
        <w:rPr>
          <w:rFonts w:hint="default" w:ascii="Arial Narrow" w:hAnsi="Arial Narrow" w:eastAsia="Calibri" w:cs="Arial Narrow"/>
          <w:color w:val="000000"/>
          <w:sz w:val="22"/>
          <w:szCs w:val="22"/>
          <w:lang w:val="sl-SI"/>
        </w:rPr>
      </w:pPr>
      <w:r>
        <w:rPr>
          <w:rFonts w:hint="default" w:ascii="Arial Narrow" w:hAnsi="Arial Narrow" w:eastAsia="Calibri" w:cs="Arial Narrow"/>
          <w:color w:val="000000"/>
          <w:sz w:val="22"/>
          <w:szCs w:val="22"/>
        </w:rPr>
        <w:t>Struktura:</w:t>
      </w:r>
      <w:r>
        <w:rPr>
          <w:rFonts w:hint="default" w:ascii="Arial Narrow" w:hAnsi="Arial Narrow" w:eastAsia="Calibri" w:cs="Arial Narrow"/>
          <w:color w:val="000000"/>
          <w:sz w:val="22"/>
          <w:szCs w:val="22"/>
          <w:lang w:val="sl-SI"/>
        </w:rPr>
        <w:t xml:space="preserve"> </w:t>
      </w:r>
    </w:p>
    <w:p w14:paraId="5DE5AED0">
      <w:pPr>
        <w:spacing w:beforeLines="0" w:afterLines="0" w:line="211" w:lineRule="auto"/>
        <w:jc w:val="left"/>
        <w:rPr>
          <w:rFonts w:hint="default" w:ascii="Arial Narrow" w:hAnsi="Arial Narrow" w:cs="Arial Narrow"/>
          <w:sz w:val="22"/>
          <w:szCs w:val="22"/>
        </w:rPr>
      </w:pPr>
      <w:r>
        <w:rPr>
          <w:rFonts w:hint="default" w:ascii="Arial Narrow" w:hAnsi="Arial Narrow" w:eastAsia="Calibri" w:cs="Arial Narrow"/>
          <w:color w:val="000000"/>
          <w:sz w:val="22"/>
          <w:szCs w:val="22"/>
        </w:rPr>
        <w:t>strukturirano ali univerzalno ožičenje</w:t>
      </w:r>
    </w:p>
    <w:p w14:paraId="527E74F7">
      <w:pPr>
        <w:spacing w:beforeLines="0" w:afterLines="0" w:line="245"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glavno vozli</w:t>
      </w:r>
      <w:r>
        <w:rPr>
          <w:rFonts w:hint="default" w:ascii="Arial Narrow" w:hAnsi="Arial Narrow" w:eastAsia="Calibri" w:cs="Arial Narrow"/>
          <w:color w:val="000000"/>
          <w:sz w:val="22"/>
          <w:szCs w:val="22"/>
          <w:lang w:val="sl-SI"/>
        </w:rPr>
        <w:t>š</w:t>
      </w:r>
      <w:r>
        <w:rPr>
          <w:rFonts w:hint="default" w:ascii="Arial Narrow" w:hAnsi="Arial Narrow" w:eastAsia="Calibri" w:cs="Arial Narrow"/>
          <w:color w:val="000000"/>
          <w:sz w:val="22"/>
          <w:szCs w:val="22"/>
        </w:rPr>
        <w:t>če</w:t>
      </w:r>
    </w:p>
    <w:p w14:paraId="381E8F2A">
      <w:pPr>
        <w:spacing w:beforeLines="0" w:afterLines="0" w:line="245"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etažna vozlišča</w:t>
      </w:r>
    </w:p>
    <w:p w14:paraId="2D9FB309">
      <w:pPr>
        <w:spacing w:beforeLines="0" w:afterLines="0" w:line="245"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lokalno vozlišče (v laboratoriju ali delavnici)</w:t>
      </w:r>
    </w:p>
    <w:p w14:paraId="1382837D">
      <w:pPr>
        <w:spacing w:beforeLines="0" w:afterLines="0" w:line="245"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osnovni razvod</w:t>
      </w:r>
    </w:p>
    <w:p w14:paraId="4DF25879">
      <w:pPr>
        <w:spacing w:beforeLines="0" w:afterLines="0"/>
        <w:jc w:val="left"/>
        <w:rPr>
          <w:rFonts w:hint="default" w:ascii="Arial Narrow" w:hAnsi="Arial Narrow" w:cs="Arial Narrow"/>
          <w:sz w:val="22"/>
          <w:szCs w:val="22"/>
        </w:rPr>
      </w:pPr>
      <w:r>
        <w:rPr>
          <w:rFonts w:hint="default" w:ascii="Arial Narrow" w:hAnsi="Arial Narrow" w:eastAsia="Calibri" w:cs="Arial Narrow"/>
          <w:color w:val="000000"/>
          <w:sz w:val="22"/>
          <w:szCs w:val="22"/>
        </w:rPr>
        <w:t>dopolnilni razvod</w:t>
      </w:r>
    </w:p>
    <w:p w14:paraId="72622C35">
      <w:pPr>
        <w:spacing w:beforeLines="0" w:afterLines="0" w:line="245" w:lineRule="auto"/>
        <w:jc w:val="left"/>
        <w:rPr>
          <w:rFonts w:hint="default" w:ascii="Arial Narrow" w:hAnsi="Arial Narrow" w:eastAsia="Calibri" w:cs="Arial Narrow"/>
          <w:color w:val="000000"/>
          <w:sz w:val="22"/>
          <w:szCs w:val="22"/>
          <w:lang w:val="sl-SI"/>
        </w:rPr>
      </w:pPr>
      <w:r>
        <w:rPr>
          <w:rFonts w:hint="default" w:ascii="Arial Narrow" w:hAnsi="Arial Narrow" w:eastAsia="Calibri" w:cs="Arial Narrow"/>
          <w:color w:val="000000"/>
          <w:sz w:val="22"/>
          <w:szCs w:val="22"/>
        </w:rPr>
        <w:t>Natečajniki  naj  predlagajo  programu  ustrezen  obseg  elektro  instalacij,  ki  bo  v  skladu  z  veljavno zakonodajo</w:t>
      </w:r>
      <w:r>
        <w:rPr>
          <w:rFonts w:hint="default" w:ascii="Arial Narrow" w:hAnsi="Arial Narrow" w:eastAsia="Calibri" w:cs="Arial Narrow"/>
          <w:color w:val="000000"/>
          <w:sz w:val="22"/>
          <w:szCs w:val="22"/>
          <w:lang w:val="sl-SI"/>
        </w:rPr>
        <w:t>.</w:t>
      </w:r>
    </w:p>
    <w:p w14:paraId="070D4DDA">
      <w:pPr>
        <w:spacing w:before="1" w:beforeLines="0" w:afterLines="0" w:line="244" w:lineRule="exact"/>
        <w:jc w:val="left"/>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CENTRALNI NADZORNI SISTEM CNS</w:t>
      </w:r>
    </w:p>
    <w:p w14:paraId="00B1A034">
      <w:pPr>
        <w:spacing w:before="1" w:beforeLines="0" w:afterLines="0" w:line="244"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Za  obratovanje,  krmiljenje  in  nadzor  nad  energetskimi  sistemi  ter  sistemi  za  upravljanje  zgradbe  je predvidena  instalacija  in  oprema  za  centralni  nadzorni  sistem  CNS.  Potrebno  je  upoštevati,  da  bo stavba</w:t>
      </w:r>
      <w:r>
        <w:rPr>
          <w:rFonts w:hint="default" w:ascii="Arial Narrow" w:hAnsi="Arial Narrow" w:eastAsia="Calibri" w:cs="Arial Narrow"/>
          <w:color w:val="000000"/>
          <w:sz w:val="22"/>
          <w:szCs w:val="22"/>
          <w:lang w:val="sl-SI"/>
        </w:rPr>
        <w:t xml:space="preserve"> </w:t>
      </w:r>
      <w:r>
        <w:rPr>
          <w:rFonts w:hint="default" w:ascii="Arial Narrow" w:hAnsi="Arial Narrow" w:eastAsia="Calibri" w:cs="Arial Narrow"/>
          <w:color w:val="000000"/>
          <w:sz w:val="22"/>
          <w:szCs w:val="22"/>
        </w:rPr>
        <w:t>skoraj nič energijska.</w:t>
      </w:r>
    </w:p>
    <w:p w14:paraId="1662DA88">
      <w:pPr>
        <w:spacing w:beforeLines="0" w:afterLines="0"/>
        <w:jc w:val="left"/>
        <w:rPr>
          <w:rFonts w:hint="default" w:ascii="Arial Narrow" w:hAnsi="Arial Narrow" w:eastAsia="Calibri" w:cs="Arial Narrow"/>
          <w:color w:val="000000"/>
          <w:sz w:val="22"/>
          <w:szCs w:val="22"/>
          <w:lang w:val="sl-SI"/>
        </w:rPr>
      </w:pPr>
    </w:p>
    <w:p w14:paraId="6A5F6E00">
      <w:pPr>
        <w:spacing w:before="196" w:beforeLines="0" w:afterLines="0" w:line="240"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Priključevanje na javno infrastrukturo</w:t>
      </w:r>
    </w:p>
    <w:p w14:paraId="76ED66F7">
      <w:pPr>
        <w:spacing w:beforeLines="0" w:afterLines="0" w:line="245" w:lineRule="auto"/>
        <w:ind w:right="45"/>
        <w:rPr>
          <w:rFonts w:hint="default" w:ascii="Arial Narrow" w:hAnsi="Arial Narrow" w:cs="Arial Narrow"/>
          <w:sz w:val="22"/>
          <w:szCs w:val="22"/>
        </w:rPr>
      </w:pPr>
      <w:r>
        <w:rPr>
          <w:rFonts w:hint="default" w:ascii="Arial Narrow" w:hAnsi="Arial Narrow" w:eastAsia="Calibri" w:cs="Arial Narrow"/>
          <w:color w:val="000000"/>
          <w:sz w:val="22"/>
          <w:szCs w:val="22"/>
          <w:lang w:val="sl-SI"/>
        </w:rPr>
        <w:t>Nov objekt bo na novo priključen na javna omrežja, priključki se po potrebi uredijo na novo, v skladu z natečajno rešitvijo bodo pridobljeni pogoji mnenjedajalcev in nosilcev urejanja prostora.</w:t>
      </w:r>
    </w:p>
    <w:p w14:paraId="3881F9DE">
      <w:pPr>
        <w:spacing w:before="167" w:beforeLines="0" w:afterLines="0" w:line="245" w:lineRule="exact"/>
        <w:jc w:val="left"/>
        <w:rPr>
          <w:rFonts w:hint="default" w:ascii="Arial Narrow" w:hAnsi="Arial Narrow" w:cs="Arial Narrow"/>
          <w:sz w:val="22"/>
          <w:szCs w:val="22"/>
        </w:rPr>
      </w:pPr>
      <w:r>
        <w:rPr>
          <w:rFonts w:hint="default" w:ascii="Arial Narrow" w:hAnsi="Arial Narrow" w:eastAsia="Calibri" w:cs="Arial Narrow"/>
          <w:b/>
          <w:color w:val="000000"/>
          <w:sz w:val="22"/>
          <w:szCs w:val="22"/>
        </w:rPr>
        <w:t>Požarna varnost</w:t>
      </w:r>
    </w:p>
    <w:p w14:paraId="01DA0791">
      <w:pPr>
        <w:spacing w:beforeLines="0" w:afterLines="0" w:line="239" w:lineRule="exact"/>
        <w:jc w:val="left"/>
        <w:rPr>
          <w:rFonts w:hint="default" w:ascii="Arial Narrow" w:hAnsi="Arial Narrow" w:cs="Arial Narrow"/>
          <w:sz w:val="22"/>
          <w:szCs w:val="22"/>
        </w:rPr>
      </w:pPr>
      <w:r>
        <w:rPr>
          <w:rFonts w:hint="default" w:ascii="Arial Narrow" w:hAnsi="Arial Narrow" w:eastAsia="Calibri" w:cs="Arial Narrow"/>
          <w:color w:val="000000"/>
          <w:sz w:val="22"/>
          <w:szCs w:val="22"/>
        </w:rPr>
        <w:t xml:space="preserve">Novozgrajeni objekt </w:t>
      </w:r>
      <w:r>
        <w:rPr>
          <w:rFonts w:hint="default" w:ascii="Arial Narrow" w:hAnsi="Arial Narrow" w:eastAsia="Calibri" w:cs="Arial Narrow"/>
          <w:color w:val="000000"/>
          <w:sz w:val="22"/>
          <w:szCs w:val="22"/>
          <w:lang w:val="sl-SI"/>
        </w:rPr>
        <w:t>osnovne šole bo</w:t>
      </w:r>
      <w:r>
        <w:rPr>
          <w:rFonts w:hint="default" w:ascii="Arial Narrow" w:hAnsi="Arial Narrow" w:eastAsia="Calibri" w:cs="Arial Narrow"/>
          <w:color w:val="000000"/>
          <w:sz w:val="22"/>
          <w:szCs w:val="22"/>
        </w:rPr>
        <w:t xml:space="preserve"> požarno zahtevna stavba.</w:t>
      </w:r>
    </w:p>
    <w:p w14:paraId="79CC83D7">
      <w:pPr>
        <w:spacing w:beforeLines="0" w:afterLines="0" w:line="211" w:lineRule="auto"/>
        <w:ind w:right="44"/>
        <w:rPr>
          <w:rFonts w:hint="default" w:ascii="Arial Narrow" w:hAnsi="Arial Narrow" w:eastAsia="Calibri" w:cs="Arial Narrow"/>
          <w:color w:val="000000"/>
          <w:sz w:val="22"/>
          <w:szCs w:val="22"/>
        </w:rPr>
      </w:pPr>
      <w:r>
        <w:rPr>
          <w:rFonts w:hint="default" w:ascii="Arial Narrow" w:hAnsi="Arial Narrow" w:eastAsia="Calibri" w:cs="Arial Narrow"/>
          <w:color w:val="000000"/>
          <w:sz w:val="22"/>
          <w:szCs w:val="22"/>
        </w:rPr>
        <w:t>Pri  projektiranju  objektov  je  potrebno  upoštevati  požarno  varstvene  zahteve,  skladno  z  veljavno zakonodajo  in  predpisi,  ter  zagotoviti  pogoje  za  varen  umik  oseb  in  premoženja,  pogoje  za  odvod dima in toplote ob požaru, prometne in delovne površine za intervencijska vozila, potrebne odmike, požarne ločitve, vire za zadostno oskrbo z vodo za gašenje ter drugo. Do objekta mora biti zagotovljen dostop in prostor za delovanje intervencijskih vozil.</w:t>
      </w:r>
    </w:p>
    <w:p w14:paraId="633266B2">
      <w:pPr>
        <w:spacing w:beforeLines="0" w:afterLines="0" w:line="211" w:lineRule="auto"/>
        <w:ind w:right="44"/>
        <w:rPr>
          <w:rFonts w:hint="default" w:ascii="Calibri" w:hAnsi="Calibri" w:eastAsia="Calibri"/>
          <w:color w:val="000000"/>
          <w:sz w:val="20"/>
          <w:szCs w:val="24"/>
        </w:rPr>
      </w:pPr>
    </w:p>
    <w:p w14:paraId="68074849">
      <w:pPr>
        <w:rPr>
          <w:rFonts w:hint="default" w:ascii="Arial Narrow" w:hAnsi="Arial Narrow" w:cs="Arial Narrow"/>
          <w:b/>
          <w:bCs/>
          <w:color w:val="auto"/>
          <w:sz w:val="22"/>
          <w:szCs w:val="22"/>
          <w:highlight w:val="none"/>
        </w:rPr>
      </w:pPr>
    </w:p>
    <w:p w14:paraId="652A0363">
      <w:pPr>
        <w:rPr>
          <w:rFonts w:hint="default" w:ascii="Arial Narrow" w:hAnsi="Arial Narrow" w:cs="Arial Narrow"/>
          <w:b/>
          <w:bCs/>
          <w:color w:val="auto"/>
          <w:sz w:val="22"/>
          <w:szCs w:val="22"/>
          <w:highlight w:val="none"/>
        </w:rPr>
      </w:pPr>
    </w:p>
    <w:p w14:paraId="30D3B548">
      <w:pPr>
        <w:ind w:left="-3" w:firstLine="3"/>
        <w:rPr>
          <w:rFonts w:hint="default" w:ascii="Arial Narrow" w:hAnsi="Arial Narrow" w:cs="Arial Narrow"/>
          <w:b/>
          <w:bCs/>
          <w:color w:val="auto"/>
          <w:highlight w:val="none"/>
        </w:rPr>
      </w:pPr>
      <w:r>
        <w:rPr>
          <w:rFonts w:hint="default" w:ascii="Arial Narrow" w:hAnsi="Arial Narrow" w:cs="Arial Narrow"/>
          <w:b/>
          <w:bCs/>
          <w:color w:val="auto"/>
          <w:highlight w:val="none"/>
        </w:rPr>
        <w:t>6_Etapnost</w:t>
      </w:r>
    </w:p>
    <w:p w14:paraId="57BCFD9F">
      <w:pPr>
        <w:rPr>
          <w:rFonts w:hint="default" w:ascii="Arial Narrow" w:hAnsi="Arial Narrow" w:cs="Arial Narrow"/>
          <w:b/>
          <w:bCs/>
          <w:color w:val="auto"/>
          <w:highlight w:val="none"/>
        </w:rPr>
      </w:pPr>
    </w:p>
    <w:p w14:paraId="5F191D8B">
      <w:pPr>
        <w:pStyle w:val="15"/>
        <w:tabs>
          <w:tab w:val="left" w:pos="839"/>
        </w:tabs>
        <w:spacing w:before="13" w:line="254" w:lineRule="auto"/>
        <w:ind w:left="0" w:right="207"/>
        <w:jc w:val="both"/>
        <w:rPr>
          <w:rFonts w:hint="default" w:ascii="Arial Narrow" w:hAnsi="Arial Narrow" w:cs="Arial Narrow"/>
          <w:color w:val="auto"/>
          <w:sz w:val="22"/>
          <w:szCs w:val="22"/>
          <w:highlight w:val="none"/>
          <w:lang w:val="sl-SI"/>
        </w:rPr>
      </w:pPr>
      <w:r>
        <w:rPr>
          <w:rFonts w:hint="default" w:ascii="Arial Narrow" w:hAnsi="Arial Narrow" w:cs="Arial Narrow"/>
          <w:color w:val="auto"/>
          <w:sz w:val="22"/>
          <w:szCs w:val="22"/>
          <w:highlight w:val="none"/>
        </w:rPr>
        <w:t>V natečajni rešitvi je možno računati na celovito izvajanje projekta</w:t>
      </w:r>
      <w:r>
        <w:rPr>
          <w:rFonts w:hint="default" w:ascii="Arial Narrow" w:hAnsi="Arial Narrow" w:cs="Arial Narrow"/>
          <w:color w:val="auto"/>
          <w:sz w:val="22"/>
          <w:szCs w:val="22"/>
          <w:highlight w:val="none"/>
          <w:lang w:val="sl-SI"/>
        </w:rPr>
        <w:t xml:space="preserve"> v eni etapi</w:t>
      </w:r>
      <w:r>
        <w:rPr>
          <w:rFonts w:hint="default" w:ascii="Arial Narrow" w:hAnsi="Arial Narrow" w:cs="Arial Narrow"/>
          <w:color w:val="auto"/>
          <w:sz w:val="22"/>
          <w:szCs w:val="22"/>
          <w:highlight w:val="none"/>
        </w:rPr>
        <w:t xml:space="preserve">, </w:t>
      </w:r>
      <w:r>
        <w:rPr>
          <w:rFonts w:hint="default" w:ascii="Arial Narrow" w:hAnsi="Arial Narrow" w:cs="Arial Narrow"/>
          <w:color w:val="auto"/>
          <w:sz w:val="22"/>
          <w:szCs w:val="22"/>
          <w:highlight w:val="none"/>
          <w:lang w:val="sl-SI"/>
        </w:rPr>
        <w:t xml:space="preserve">vendar je potrebno preučiti in navesti funkcionalno operativnost obstoječega območja med gradnjo. </w:t>
      </w:r>
    </w:p>
    <w:p w14:paraId="4D950C77">
      <w:pPr>
        <w:pStyle w:val="15"/>
        <w:tabs>
          <w:tab w:val="left" w:pos="839"/>
        </w:tabs>
        <w:spacing w:before="13" w:line="254" w:lineRule="auto"/>
        <w:ind w:left="0" w:right="207"/>
        <w:jc w:val="both"/>
        <w:rPr>
          <w:rFonts w:hint="default" w:ascii="Arial Narrow" w:hAnsi="Arial Narrow" w:cs="Arial Narrow"/>
          <w:color w:val="auto"/>
          <w:sz w:val="22"/>
          <w:szCs w:val="22"/>
          <w:highlight w:val="none"/>
          <w:lang w:val="sl-SI"/>
        </w:rPr>
      </w:pPr>
    </w:p>
    <w:p w14:paraId="79FC003C">
      <w:pPr>
        <w:pStyle w:val="15"/>
        <w:tabs>
          <w:tab w:val="left" w:pos="839"/>
        </w:tabs>
        <w:spacing w:line="252" w:lineRule="auto"/>
        <w:ind w:left="0" w:right="207"/>
        <w:jc w:val="both"/>
        <w:rPr>
          <w:rFonts w:hint="default" w:ascii="Arial Narrow" w:hAnsi="Arial Narrow" w:cs="Arial Narrow"/>
          <w:color w:val="auto"/>
          <w:sz w:val="22"/>
          <w:szCs w:val="22"/>
          <w:highlight w:val="none"/>
          <w:lang w:val="sl-SI"/>
        </w:rPr>
      </w:pPr>
      <w:r>
        <w:rPr>
          <w:rFonts w:hint="default" w:ascii="Arial Narrow" w:hAnsi="Arial Narrow" w:cs="Arial Narrow"/>
          <w:color w:val="auto"/>
          <w:sz w:val="22"/>
          <w:szCs w:val="22"/>
          <w:highlight w:val="none"/>
          <w:lang w:val="de-DE"/>
        </w:rPr>
        <w:t>V</w:t>
      </w:r>
      <w:r>
        <w:rPr>
          <w:rFonts w:hint="default" w:ascii="Arial Narrow" w:hAnsi="Arial Narrow" w:cs="Arial Narrow"/>
          <w:color w:val="auto"/>
          <w:spacing w:val="-34"/>
          <w:sz w:val="22"/>
          <w:szCs w:val="22"/>
          <w:highlight w:val="none"/>
          <w:lang w:val="de-DE"/>
        </w:rPr>
        <w:t xml:space="preserve"> </w:t>
      </w:r>
      <w:r>
        <w:rPr>
          <w:rFonts w:hint="default" w:ascii="Arial Narrow" w:hAnsi="Arial Narrow" w:cs="Arial Narrow"/>
          <w:color w:val="auto"/>
          <w:sz w:val="22"/>
          <w:szCs w:val="22"/>
          <w:highlight w:val="none"/>
          <w:lang w:val="de-DE"/>
        </w:rPr>
        <w:t>primeru,</w:t>
      </w:r>
      <w:r>
        <w:rPr>
          <w:rFonts w:hint="default" w:ascii="Arial Narrow" w:hAnsi="Arial Narrow" w:cs="Arial Narrow"/>
          <w:color w:val="auto"/>
          <w:spacing w:val="-33"/>
          <w:sz w:val="22"/>
          <w:szCs w:val="22"/>
          <w:highlight w:val="none"/>
          <w:lang w:val="de-DE"/>
        </w:rPr>
        <w:t xml:space="preserve"> </w:t>
      </w:r>
      <w:r>
        <w:rPr>
          <w:rFonts w:hint="default" w:ascii="Arial Narrow" w:hAnsi="Arial Narrow" w:cs="Arial Narrow"/>
          <w:color w:val="auto"/>
          <w:sz w:val="22"/>
          <w:szCs w:val="22"/>
          <w:highlight w:val="none"/>
          <w:lang w:val="de-DE"/>
        </w:rPr>
        <w:t>da</w:t>
      </w:r>
      <w:r>
        <w:rPr>
          <w:rFonts w:hint="default" w:ascii="Arial Narrow" w:hAnsi="Arial Narrow" w:cs="Arial Narrow"/>
          <w:color w:val="auto"/>
          <w:sz w:val="22"/>
          <w:szCs w:val="22"/>
          <w:highlight w:val="none"/>
        </w:rPr>
        <w:t xml:space="preserve"> natečajnik predvidi etapnost, ki je </w:t>
      </w:r>
      <w:r>
        <w:rPr>
          <w:rFonts w:hint="default" w:ascii="Arial Narrow" w:hAnsi="Arial Narrow" w:cs="Arial Narrow"/>
          <w:color w:val="auto"/>
          <w:sz w:val="22"/>
          <w:szCs w:val="22"/>
          <w:highlight w:val="none"/>
          <w:lang w:val="de-DE"/>
        </w:rPr>
        <w:t>ključna</w:t>
      </w:r>
      <w:r>
        <w:rPr>
          <w:rFonts w:hint="default" w:ascii="Arial Narrow" w:hAnsi="Arial Narrow" w:cs="Arial Narrow"/>
          <w:color w:val="auto"/>
          <w:spacing w:val="-33"/>
          <w:sz w:val="22"/>
          <w:szCs w:val="22"/>
          <w:highlight w:val="none"/>
          <w:lang w:val="de-DE"/>
        </w:rPr>
        <w:t xml:space="preserve"> </w:t>
      </w:r>
      <w:r>
        <w:rPr>
          <w:rFonts w:hint="default" w:ascii="Arial Narrow" w:hAnsi="Arial Narrow" w:cs="Arial Narrow"/>
          <w:color w:val="auto"/>
          <w:sz w:val="22"/>
          <w:szCs w:val="22"/>
          <w:highlight w:val="none"/>
          <w:lang w:val="de-DE"/>
        </w:rPr>
        <w:t>za</w:t>
      </w:r>
      <w:r>
        <w:rPr>
          <w:rFonts w:hint="default" w:ascii="Arial Narrow" w:hAnsi="Arial Narrow" w:cs="Arial Narrow"/>
          <w:color w:val="auto"/>
          <w:spacing w:val="-33"/>
          <w:sz w:val="22"/>
          <w:szCs w:val="22"/>
          <w:highlight w:val="none"/>
          <w:lang w:val="de-DE"/>
        </w:rPr>
        <w:t xml:space="preserve"> </w:t>
      </w:r>
      <w:r>
        <w:rPr>
          <w:rFonts w:hint="default" w:ascii="Arial Narrow" w:hAnsi="Arial Narrow" w:cs="Arial Narrow"/>
          <w:color w:val="auto"/>
          <w:sz w:val="22"/>
          <w:szCs w:val="22"/>
          <w:highlight w:val="none"/>
          <w:lang w:val="de-DE"/>
        </w:rPr>
        <w:t>kasnejšo</w:t>
      </w:r>
      <w:r>
        <w:rPr>
          <w:rFonts w:hint="default" w:ascii="Arial Narrow" w:hAnsi="Arial Narrow" w:cs="Arial Narrow"/>
          <w:color w:val="auto"/>
          <w:spacing w:val="-34"/>
          <w:sz w:val="22"/>
          <w:szCs w:val="22"/>
          <w:highlight w:val="none"/>
          <w:lang w:val="de-DE"/>
        </w:rPr>
        <w:t xml:space="preserve"> </w:t>
      </w:r>
      <w:r>
        <w:rPr>
          <w:rFonts w:hint="default" w:ascii="Arial Narrow" w:hAnsi="Arial Narrow" w:cs="Arial Narrow"/>
          <w:color w:val="auto"/>
          <w:sz w:val="22"/>
          <w:szCs w:val="22"/>
          <w:highlight w:val="none"/>
          <w:lang w:val="de-DE"/>
        </w:rPr>
        <w:t>izvedbo</w:t>
      </w:r>
      <w:r>
        <w:rPr>
          <w:rFonts w:hint="default" w:ascii="Arial Narrow" w:hAnsi="Arial Narrow" w:cs="Arial Narrow"/>
          <w:color w:val="auto"/>
          <w:spacing w:val="-33"/>
          <w:sz w:val="22"/>
          <w:szCs w:val="22"/>
          <w:highlight w:val="none"/>
          <w:lang w:val="de-DE"/>
        </w:rPr>
        <w:t xml:space="preserve"> </w:t>
      </w:r>
      <w:r>
        <w:rPr>
          <w:rFonts w:hint="default" w:ascii="Arial Narrow" w:hAnsi="Arial Narrow" w:cs="Arial Narrow"/>
          <w:color w:val="auto"/>
          <w:sz w:val="22"/>
          <w:szCs w:val="22"/>
          <w:highlight w:val="none"/>
          <w:lang w:val="de-DE"/>
        </w:rPr>
        <w:t>projekta,</w:t>
      </w:r>
      <w:r>
        <w:rPr>
          <w:rFonts w:hint="default" w:ascii="Arial Narrow" w:hAnsi="Arial Narrow" w:cs="Arial Narrow"/>
          <w:color w:val="auto"/>
          <w:spacing w:val="-33"/>
          <w:sz w:val="22"/>
          <w:szCs w:val="22"/>
          <w:highlight w:val="none"/>
          <w:lang w:val="de-DE"/>
        </w:rPr>
        <w:t xml:space="preserve"> </w:t>
      </w:r>
      <w:r>
        <w:rPr>
          <w:rFonts w:hint="default" w:ascii="Arial Narrow" w:hAnsi="Arial Narrow" w:cs="Arial Narrow"/>
          <w:color w:val="auto"/>
          <w:sz w:val="22"/>
          <w:szCs w:val="22"/>
          <w:highlight w:val="none"/>
          <w:lang w:val="de-DE"/>
        </w:rPr>
        <w:t>je</w:t>
      </w:r>
      <w:r>
        <w:rPr>
          <w:rFonts w:hint="default" w:ascii="Arial Narrow" w:hAnsi="Arial Narrow" w:cs="Arial Narrow"/>
          <w:color w:val="auto"/>
          <w:spacing w:val="-34"/>
          <w:sz w:val="22"/>
          <w:szCs w:val="22"/>
          <w:highlight w:val="none"/>
          <w:lang w:val="de-DE"/>
        </w:rPr>
        <w:t xml:space="preserve"> </w:t>
      </w:r>
      <w:r>
        <w:rPr>
          <w:rFonts w:hint="default" w:ascii="Arial Narrow" w:hAnsi="Arial Narrow" w:cs="Arial Narrow"/>
          <w:color w:val="auto"/>
          <w:sz w:val="22"/>
          <w:szCs w:val="22"/>
          <w:highlight w:val="none"/>
          <w:lang w:val="de-DE"/>
        </w:rPr>
        <w:t>to</w:t>
      </w:r>
      <w:r>
        <w:rPr>
          <w:rFonts w:hint="default" w:ascii="Arial Narrow" w:hAnsi="Arial Narrow" w:cs="Arial Narrow"/>
          <w:color w:val="auto"/>
          <w:spacing w:val="-33"/>
          <w:sz w:val="22"/>
          <w:szCs w:val="22"/>
          <w:highlight w:val="none"/>
          <w:lang w:val="de-DE"/>
        </w:rPr>
        <w:t xml:space="preserve"> </w:t>
      </w:r>
      <w:r>
        <w:rPr>
          <w:rFonts w:hint="default" w:ascii="Arial Narrow" w:hAnsi="Arial Narrow" w:cs="Arial Narrow"/>
          <w:color w:val="auto"/>
          <w:sz w:val="22"/>
          <w:szCs w:val="22"/>
          <w:highlight w:val="none"/>
          <w:lang w:val="de-DE"/>
        </w:rPr>
        <w:t>treba</w:t>
      </w:r>
      <w:r>
        <w:rPr>
          <w:rFonts w:hint="default" w:ascii="Arial Narrow" w:hAnsi="Arial Narrow" w:cs="Arial Narrow"/>
          <w:color w:val="auto"/>
          <w:spacing w:val="-33"/>
          <w:sz w:val="22"/>
          <w:szCs w:val="22"/>
          <w:highlight w:val="none"/>
          <w:lang w:val="de-DE"/>
        </w:rPr>
        <w:t xml:space="preserve"> </w:t>
      </w:r>
      <w:r>
        <w:rPr>
          <w:rFonts w:hint="default" w:ascii="Arial Narrow" w:hAnsi="Arial Narrow" w:cs="Arial Narrow"/>
          <w:color w:val="auto"/>
          <w:sz w:val="22"/>
          <w:szCs w:val="22"/>
          <w:highlight w:val="none"/>
          <w:lang w:val="de-DE"/>
        </w:rPr>
        <w:t>v</w:t>
      </w:r>
      <w:r>
        <w:rPr>
          <w:rFonts w:hint="default" w:ascii="Arial Narrow" w:hAnsi="Arial Narrow" w:cs="Arial Narrow"/>
          <w:color w:val="auto"/>
          <w:spacing w:val="-33"/>
          <w:sz w:val="22"/>
          <w:szCs w:val="22"/>
          <w:highlight w:val="none"/>
          <w:lang w:val="de-DE"/>
        </w:rPr>
        <w:t xml:space="preserve"> </w:t>
      </w:r>
      <w:r>
        <w:rPr>
          <w:rFonts w:hint="default" w:ascii="Arial Narrow" w:hAnsi="Arial Narrow" w:cs="Arial Narrow"/>
          <w:color w:val="auto"/>
          <w:sz w:val="22"/>
          <w:szCs w:val="22"/>
          <w:highlight w:val="none"/>
          <w:lang w:val="de-DE"/>
        </w:rPr>
        <w:t>nalogi</w:t>
      </w:r>
      <w:r>
        <w:rPr>
          <w:rFonts w:hint="default" w:ascii="Arial Narrow" w:hAnsi="Arial Narrow" w:cs="Arial Narrow"/>
          <w:color w:val="auto"/>
          <w:spacing w:val="-34"/>
          <w:sz w:val="22"/>
          <w:szCs w:val="22"/>
          <w:highlight w:val="none"/>
          <w:lang w:val="de-DE"/>
        </w:rPr>
        <w:t xml:space="preserve"> </w:t>
      </w:r>
      <w:r>
        <w:rPr>
          <w:rFonts w:hint="default" w:ascii="Arial Narrow" w:hAnsi="Arial Narrow" w:cs="Arial Narrow"/>
          <w:color w:val="auto"/>
          <w:sz w:val="22"/>
          <w:szCs w:val="22"/>
          <w:highlight w:val="none"/>
          <w:lang w:val="de-DE"/>
        </w:rPr>
        <w:t>posebej poudariti.</w:t>
      </w:r>
      <w:r>
        <w:rPr>
          <w:rFonts w:hint="default" w:ascii="Arial Narrow" w:hAnsi="Arial Narrow" w:cs="Arial Narrow"/>
          <w:color w:val="auto"/>
          <w:sz w:val="22"/>
          <w:szCs w:val="22"/>
          <w:highlight w:val="none"/>
          <w:lang w:val="sl-SI"/>
        </w:rPr>
        <w:t xml:space="preserve"> </w:t>
      </w:r>
    </w:p>
    <w:p w14:paraId="074F716C">
      <w:pPr>
        <w:pStyle w:val="15"/>
        <w:tabs>
          <w:tab w:val="left" w:pos="839"/>
        </w:tabs>
        <w:spacing w:line="252" w:lineRule="auto"/>
        <w:ind w:left="0" w:right="207"/>
        <w:jc w:val="both"/>
        <w:rPr>
          <w:rFonts w:hint="default" w:ascii="Arial Narrow" w:hAnsi="Arial Narrow" w:cs="Arial Narrow"/>
          <w:color w:val="auto"/>
          <w:sz w:val="22"/>
          <w:szCs w:val="22"/>
          <w:highlight w:val="none"/>
          <w:lang w:val="sl-SI"/>
        </w:rPr>
      </w:pPr>
    </w:p>
    <w:p w14:paraId="7FB13DE0">
      <w:pPr>
        <w:pStyle w:val="15"/>
        <w:tabs>
          <w:tab w:val="left" w:pos="839"/>
        </w:tabs>
        <w:spacing w:line="252" w:lineRule="auto"/>
        <w:ind w:left="0" w:right="207"/>
        <w:jc w:val="both"/>
        <w:rPr>
          <w:rFonts w:hint="default" w:ascii="Arial Narrow" w:hAnsi="Arial Narrow" w:cs="Arial Narrow"/>
          <w:color w:val="auto"/>
          <w:sz w:val="22"/>
          <w:szCs w:val="22"/>
          <w:highlight w:val="none"/>
          <w:lang w:val="sl-SI"/>
        </w:rPr>
      </w:pPr>
      <w:r>
        <w:rPr>
          <w:rFonts w:hint="default" w:ascii="Arial Narrow" w:hAnsi="Arial Narrow" w:cs="Arial Narrow"/>
          <w:color w:val="auto"/>
          <w:sz w:val="22"/>
          <w:szCs w:val="22"/>
          <w:highlight w:val="none"/>
          <w:lang w:val="sl-SI"/>
        </w:rPr>
        <w:t>V primeru kompleksnejših zahtev in lastnosti etapne gradnje je potrebno izdelati grafični prikaz etapnosti in etapnost v tekstualnem delu podrobno opisati.</w:t>
      </w:r>
    </w:p>
    <w:p w14:paraId="3413E142">
      <w:pPr>
        <w:rPr>
          <w:rFonts w:hint="default" w:ascii="Arial Narrow" w:hAnsi="Arial Narrow" w:cs="Arial Narrow"/>
          <w:b/>
          <w:bCs/>
          <w:color w:val="auto"/>
          <w:highlight w:val="none"/>
        </w:rPr>
      </w:pPr>
    </w:p>
    <w:p w14:paraId="2F19D26B">
      <w:pPr>
        <w:rPr>
          <w:rFonts w:hint="default" w:ascii="Arial Narrow" w:hAnsi="Arial Narrow" w:cs="Arial Narrow"/>
          <w:b/>
          <w:bCs/>
          <w:color w:val="auto"/>
          <w:highlight w:val="none"/>
        </w:rPr>
      </w:pPr>
    </w:p>
    <w:p w14:paraId="502052E5">
      <w:pPr>
        <w:rPr>
          <w:rFonts w:hint="default" w:ascii="Arial Narrow" w:hAnsi="Arial Narrow" w:cs="Arial Narrow"/>
          <w:b/>
          <w:bCs/>
          <w:color w:val="auto"/>
          <w:highlight w:val="none"/>
        </w:rPr>
      </w:pPr>
    </w:p>
    <w:p w14:paraId="4001ACCA">
      <w:pPr>
        <w:rPr>
          <w:rFonts w:hint="default" w:ascii="Arial Narrow" w:hAnsi="Arial Narrow" w:cs="Arial Narrow"/>
          <w:b/>
          <w:bCs/>
          <w:color w:val="auto"/>
          <w:highlight w:val="none"/>
        </w:rPr>
      </w:pPr>
    </w:p>
    <w:p w14:paraId="30CC9269">
      <w:pPr>
        <w:rPr>
          <w:rFonts w:hint="default" w:ascii="Arial Narrow" w:hAnsi="Arial Narrow" w:cs="Arial Narrow"/>
          <w:b/>
          <w:bCs/>
          <w:color w:val="auto"/>
          <w:highlight w:val="none"/>
        </w:rPr>
      </w:pPr>
      <w:r>
        <w:rPr>
          <w:rFonts w:hint="default" w:ascii="Arial Narrow" w:hAnsi="Arial Narrow" w:cs="Arial Narrow"/>
          <w:b/>
          <w:bCs/>
          <w:color w:val="auto"/>
          <w:highlight w:val="none"/>
        </w:rPr>
        <w:t>7_Vrednost investicije, vrednost GOI del</w:t>
      </w:r>
    </w:p>
    <w:p w14:paraId="166D0DC6">
      <w:pPr>
        <w:rPr>
          <w:rFonts w:hint="default" w:ascii="Arial Narrow" w:hAnsi="Arial Narrow" w:cs="Arial Narrow"/>
          <w:b/>
          <w:bCs/>
          <w:color w:val="auto"/>
          <w:highlight w:val="none"/>
        </w:rPr>
      </w:pPr>
    </w:p>
    <w:p w14:paraId="40B22745">
      <w:pPr>
        <w:pStyle w:val="3"/>
        <w:spacing w:before="4" w:line="254" w:lineRule="auto"/>
        <w:ind w:left="-3" w:firstLine="3"/>
        <w:rPr>
          <w:rFonts w:hint="default" w:ascii="Arial Narrow" w:hAnsi="Arial Narrow" w:cs="Arial Narrow"/>
          <w:b w:val="0"/>
          <w:bCs w:val="0"/>
          <w:color w:val="auto"/>
          <w:sz w:val="22"/>
          <w:szCs w:val="22"/>
          <w:highlight w:val="none"/>
          <w:lang w:val="sl-SI"/>
        </w:rPr>
      </w:pPr>
      <w:r>
        <w:rPr>
          <w:rFonts w:hint="default" w:ascii="Arial Narrow" w:hAnsi="Arial Narrow" w:cs="Arial Narrow"/>
          <w:b w:val="0"/>
          <w:bCs w:val="0"/>
          <w:color w:val="auto"/>
          <w:sz w:val="22"/>
          <w:szCs w:val="22"/>
          <w:highlight w:val="none"/>
        </w:rPr>
        <w:t xml:space="preserve">Pričakovana vrednost izvedbe je podana v </w:t>
      </w:r>
      <w:r>
        <w:rPr>
          <w:rFonts w:hint="default" w:ascii="Arial Narrow" w:hAnsi="Arial Narrow" w:cs="Arial Narrow"/>
          <w:b w:val="0"/>
          <w:bCs w:val="0"/>
          <w:color w:val="auto"/>
          <w:sz w:val="22"/>
          <w:szCs w:val="22"/>
          <w:highlight w:val="none"/>
          <w:lang w:val="sl-SI"/>
        </w:rPr>
        <w:t>izdelanem dokumentu DIIP za novogradnjo (v prilogah D), kjer je investicija leta 2022 opredeljena po stalnih cenah kot sledi</w:t>
      </w:r>
    </w:p>
    <w:p w14:paraId="65071AA4">
      <w:pPr>
        <w:pStyle w:val="3"/>
        <w:spacing w:before="4" w:line="254" w:lineRule="auto"/>
        <w:ind w:left="-3" w:firstLine="3"/>
        <w:rPr>
          <w:rFonts w:hint="default" w:ascii="Arial Narrow" w:hAnsi="Arial Narrow" w:cs="Arial Narrow"/>
          <w:b w:val="0"/>
          <w:bCs w:val="0"/>
          <w:color w:val="auto"/>
          <w:sz w:val="22"/>
          <w:szCs w:val="22"/>
          <w:highlight w:val="none"/>
          <w:lang w:val="sl-SI"/>
        </w:rPr>
      </w:pPr>
    </w:p>
    <w:p w14:paraId="6BF36D88">
      <w:pPr>
        <w:pStyle w:val="3"/>
        <w:spacing w:before="4" w:line="254" w:lineRule="auto"/>
        <w:ind w:left="-3" w:firstLine="3"/>
      </w:pPr>
      <w:r>
        <w:drawing>
          <wp:inline distT="0" distB="0" distL="114300" distR="114300">
            <wp:extent cx="3642995" cy="1283335"/>
            <wp:effectExtent l="0" t="0" r="14605" b="12065"/>
            <wp:docPr id="13"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 5"/>
                    <pic:cNvPicPr>
                      <a:picLocks noChangeAspect="1"/>
                    </pic:cNvPicPr>
                  </pic:nvPicPr>
                  <pic:blipFill>
                    <a:blip r:embed="rId27"/>
                    <a:stretch>
                      <a:fillRect/>
                    </a:stretch>
                  </pic:blipFill>
                  <pic:spPr>
                    <a:xfrm>
                      <a:off x="0" y="0"/>
                      <a:ext cx="3642995" cy="1283335"/>
                    </a:xfrm>
                    <a:prstGeom prst="rect">
                      <a:avLst/>
                    </a:prstGeom>
                    <a:noFill/>
                    <a:ln>
                      <a:noFill/>
                    </a:ln>
                  </pic:spPr>
                </pic:pic>
              </a:graphicData>
            </a:graphic>
          </wp:inline>
        </w:drawing>
      </w:r>
    </w:p>
    <w:p w14:paraId="25BBE22F">
      <w:pPr>
        <w:pStyle w:val="3"/>
        <w:spacing w:before="4" w:line="254" w:lineRule="auto"/>
        <w:ind w:left="-3" w:firstLine="3"/>
        <w:rPr>
          <w:rFonts w:hint="default" w:ascii="Arial Narrow" w:hAnsi="Arial Narrow" w:cs="Arial Narrow"/>
          <w:b w:val="0"/>
          <w:bCs w:val="0"/>
          <w:color w:val="auto"/>
          <w:sz w:val="22"/>
          <w:szCs w:val="22"/>
          <w:highlight w:val="none"/>
        </w:rPr>
      </w:pPr>
    </w:p>
    <w:p w14:paraId="74D32C64">
      <w:pPr>
        <w:pStyle w:val="3"/>
        <w:spacing w:before="4" w:line="254" w:lineRule="auto"/>
        <w:ind w:left="-3" w:firstLine="3"/>
        <w:rPr>
          <w:rFonts w:hint="default" w:ascii="Arial Narrow" w:hAnsi="Arial Narrow" w:cs="Arial Narrow"/>
          <w:b w:val="0"/>
          <w:bCs w:val="0"/>
          <w:color w:val="auto"/>
          <w:highlight w:val="none"/>
        </w:rPr>
      </w:pPr>
      <w:r>
        <w:rPr>
          <w:rFonts w:hint="default" w:ascii="Arial Narrow" w:hAnsi="Arial Narrow" w:cs="Arial Narrow"/>
          <w:b w:val="0"/>
          <w:bCs w:val="0"/>
          <w:color w:val="auto"/>
          <w:sz w:val="22"/>
          <w:szCs w:val="22"/>
          <w:highlight w:val="none"/>
        </w:rPr>
        <w:t xml:space="preserve">Vse ocenjene vrednosti izvedbe so preliminarne in neobvezujoče. </w:t>
      </w:r>
      <w:r>
        <w:rPr>
          <w:rFonts w:hint="default" w:ascii="Arial Narrow" w:hAnsi="Arial Narrow" w:cs="Arial Narrow"/>
          <w:b w:val="0"/>
          <w:bCs w:val="0"/>
          <w:color w:val="auto"/>
          <w:sz w:val="22"/>
          <w:szCs w:val="22"/>
          <w:highlight w:val="none"/>
          <w:lang w:val="sl-SI"/>
        </w:rPr>
        <w:t>Nadaljnja i</w:t>
      </w:r>
      <w:r>
        <w:rPr>
          <w:rFonts w:hint="default" w:ascii="Arial Narrow" w:hAnsi="Arial Narrow" w:cs="Arial Narrow"/>
          <w:b w:val="0"/>
          <w:bCs w:val="0"/>
          <w:color w:val="auto"/>
          <w:sz w:val="22"/>
          <w:szCs w:val="22"/>
          <w:highlight w:val="none"/>
        </w:rPr>
        <w:t xml:space="preserve">nvesticijska dokumentacija bo izdelana na podlagi izdelane projektne dokumentacije. Preliminarna ocena vrednosti bo podana med ocenjevanjem natečajnih elaboratov. Vrednosti so okvirne. </w:t>
      </w:r>
    </w:p>
    <w:p w14:paraId="0B40948D">
      <w:pPr>
        <w:spacing w:line="254" w:lineRule="auto"/>
        <w:ind w:left="-3" w:firstLine="3"/>
        <w:rPr>
          <w:rFonts w:hint="default" w:ascii="Arial Narrow" w:hAnsi="Arial Narrow" w:cs="Arial Narrow"/>
          <w:color w:val="auto"/>
          <w:sz w:val="22"/>
          <w:szCs w:val="22"/>
          <w:highlight w:val="none"/>
        </w:rPr>
      </w:pPr>
    </w:p>
    <w:p w14:paraId="485081D8">
      <w:pPr>
        <w:spacing w:line="254" w:lineRule="auto"/>
        <w:ind w:left="-3" w:firstLine="3"/>
        <w:rPr>
          <w:rFonts w:hint="default" w:ascii="Arial Narrow" w:hAnsi="Arial Narrow" w:cs="Arial Narrow"/>
          <w:color w:val="auto"/>
          <w:sz w:val="22"/>
          <w:szCs w:val="22"/>
          <w:highlight w:val="none"/>
          <w:lang w:val="sl-SI"/>
        </w:rPr>
        <w:sectPr>
          <w:headerReference r:id="rId5" w:type="default"/>
          <w:pgSz w:w="11900" w:h="16840"/>
          <w:pgMar w:top="1340" w:right="1200" w:bottom="920" w:left="1300" w:header="0" w:footer="738" w:gutter="0"/>
          <w:cols w:space="708" w:num="1"/>
        </w:sectPr>
      </w:pPr>
      <w:r>
        <w:rPr>
          <w:rFonts w:hint="default" w:ascii="Arial Narrow" w:hAnsi="Arial Narrow" w:cs="Arial Narrow"/>
          <w:color w:val="auto"/>
          <w:sz w:val="22"/>
          <w:szCs w:val="22"/>
          <w:highlight w:val="none"/>
          <w:lang w:val="sl-SI"/>
        </w:rPr>
        <w:t xml:space="preserve">Natečajne rešitve morajo vsebovati oceno vrednosti investicije s prikazom površin in ocenjeno vrednostjo po posameznih kategorijah (A, B, C, šport, zunanje ureditve). </w:t>
      </w:r>
    </w:p>
    <w:p w14:paraId="13763D6F">
      <w:pPr>
        <w:rPr>
          <w:rFonts w:hint="default" w:ascii="Arial Narrow" w:hAnsi="Arial Narrow" w:cs="Arial Narrow"/>
          <w:b/>
          <w:bCs/>
          <w:color w:val="auto"/>
          <w:highlight w:val="none"/>
        </w:rPr>
      </w:pPr>
      <w:r>
        <w:rPr>
          <w:rFonts w:hint="default" w:ascii="Arial Narrow" w:hAnsi="Arial Narrow" w:cs="Arial Narrow"/>
          <w:b/>
          <w:bCs/>
          <w:color w:val="auto"/>
          <w:highlight w:val="none"/>
        </w:rPr>
        <w:t>8_Povzetek vseh obveznih zahtev, usmeritev, priporočil in eventualnih izločitvenih kriterijev</w:t>
      </w:r>
    </w:p>
    <w:p w14:paraId="3E0EFAFA">
      <w:pPr>
        <w:pStyle w:val="17"/>
        <w:spacing w:line="276" w:lineRule="auto"/>
        <w:rPr>
          <w:rFonts w:hint="default" w:ascii="Arial Narrow" w:hAnsi="Arial Narrow" w:cs="Arial Narrow"/>
          <w:b/>
          <w:bCs/>
          <w:color w:val="auto"/>
          <w:highlight w:val="none"/>
          <w:lang w:val="sl-SI"/>
        </w:rPr>
      </w:pPr>
    </w:p>
    <w:p w14:paraId="5D9AD757">
      <w:pPr>
        <w:pStyle w:val="17"/>
        <w:spacing w:line="276" w:lineRule="auto"/>
        <w:rPr>
          <w:rFonts w:hint="default" w:ascii="Arial Narrow" w:hAnsi="Arial Narrow" w:cs="Arial Narrow"/>
          <w:b/>
          <w:bCs/>
          <w:color w:val="auto"/>
          <w:highlight w:val="none"/>
          <w:lang w:val="sl-SI"/>
        </w:rPr>
      </w:pPr>
      <w:r>
        <w:rPr>
          <w:rFonts w:hint="default" w:ascii="Arial Narrow" w:hAnsi="Arial Narrow" w:cs="Arial Narrow"/>
          <w:b/>
          <w:bCs/>
          <w:color w:val="auto"/>
          <w:highlight w:val="none"/>
          <w:lang w:val="sl-SI"/>
        </w:rPr>
        <w:t>ZAHTEVANI SESTAVNI DELI ZA ODDAJO NATEČAJNEGA ELABORATA</w:t>
      </w:r>
    </w:p>
    <w:p w14:paraId="184D89B9">
      <w:pPr>
        <w:spacing w:line="239" w:lineRule="auto"/>
        <w:rPr>
          <w:rFonts w:hint="default" w:ascii="Arial Narrow" w:hAnsi="Arial Narrow" w:eastAsia="Helvetica" w:cs="Arial Narrow"/>
          <w:color w:val="auto"/>
          <w:sz w:val="22"/>
          <w:szCs w:val="22"/>
          <w:highlight w:val="none"/>
        </w:rPr>
      </w:pPr>
    </w:p>
    <w:p w14:paraId="2B6D0B7D">
      <w:pPr>
        <w:spacing w:line="239" w:lineRule="auto"/>
        <w:rPr>
          <w:rFonts w:hint="default" w:ascii="Arial Narrow" w:hAnsi="Arial Narrow" w:eastAsia="Helvetica" w:cs="Arial Narrow"/>
          <w:color w:val="auto"/>
          <w:sz w:val="22"/>
          <w:szCs w:val="22"/>
          <w:highlight w:val="none"/>
        </w:rPr>
      </w:pPr>
      <w:r>
        <w:rPr>
          <w:rFonts w:hint="default" w:ascii="Arial Narrow" w:hAnsi="Arial Narrow" w:eastAsia="Helvetica" w:cs="Arial Narrow"/>
          <w:color w:val="auto"/>
          <w:sz w:val="22"/>
          <w:szCs w:val="22"/>
          <w:highlight w:val="none"/>
        </w:rPr>
        <w:t>Vsak nate</w:t>
      </w:r>
      <w:r>
        <w:rPr>
          <w:rFonts w:hint="default" w:ascii="Arial Narrow" w:hAnsi="Arial Narrow" w:eastAsia="Arial" w:cs="Arial Narrow"/>
          <w:color w:val="auto"/>
          <w:sz w:val="22"/>
          <w:szCs w:val="22"/>
          <w:highlight w:val="none"/>
        </w:rPr>
        <w:t>č</w:t>
      </w:r>
      <w:r>
        <w:rPr>
          <w:rFonts w:hint="default" w:ascii="Arial Narrow" w:hAnsi="Arial Narrow" w:eastAsia="Helvetica" w:cs="Arial Narrow"/>
          <w:color w:val="auto"/>
          <w:sz w:val="22"/>
          <w:szCs w:val="22"/>
          <w:highlight w:val="none"/>
        </w:rPr>
        <w:t>ajni elaborat mora vsebovati vse predpisane sestavne dele.</w:t>
      </w:r>
    </w:p>
    <w:p w14:paraId="41F1C591">
      <w:pPr>
        <w:spacing w:line="239" w:lineRule="auto"/>
        <w:rPr>
          <w:rFonts w:hint="default" w:ascii="Arial Narrow" w:hAnsi="Arial Narrow" w:eastAsia="Helvetica" w:cs="Arial Narrow"/>
          <w:color w:val="auto"/>
          <w:sz w:val="22"/>
          <w:szCs w:val="22"/>
          <w:highlight w:val="none"/>
        </w:rPr>
      </w:pPr>
      <w:r>
        <w:rPr>
          <w:rFonts w:hint="default" w:ascii="Arial Narrow" w:hAnsi="Arial Narrow" w:eastAsia="Helvetica" w:cs="Arial Narrow"/>
          <w:color w:val="auto"/>
          <w:sz w:val="22"/>
          <w:szCs w:val="22"/>
          <w:highlight w:val="none"/>
        </w:rPr>
        <w:t>Nate</w:t>
      </w:r>
      <w:r>
        <w:rPr>
          <w:rFonts w:hint="default" w:ascii="Arial Narrow" w:hAnsi="Arial Narrow" w:eastAsia="Arial" w:cs="Arial Narrow"/>
          <w:color w:val="auto"/>
          <w:sz w:val="22"/>
          <w:szCs w:val="22"/>
          <w:highlight w:val="none"/>
        </w:rPr>
        <w:t>č</w:t>
      </w:r>
      <w:r>
        <w:rPr>
          <w:rFonts w:hint="default" w:ascii="Arial Narrow" w:hAnsi="Arial Narrow" w:eastAsia="Helvetica" w:cs="Arial Narrow"/>
          <w:color w:val="auto"/>
          <w:sz w:val="22"/>
          <w:szCs w:val="22"/>
          <w:highlight w:val="none"/>
        </w:rPr>
        <w:t>ajni elaborat mora biti predložen v naslednjem sestavu, obliki in vsebini:</w:t>
      </w:r>
    </w:p>
    <w:p w14:paraId="3D06E5B9">
      <w:pPr>
        <w:spacing w:line="239" w:lineRule="auto"/>
        <w:rPr>
          <w:rFonts w:hint="default" w:ascii="Arial Narrow" w:hAnsi="Arial Narrow" w:eastAsia="Helvetica" w:cs="Arial Narrow"/>
          <w:color w:val="auto"/>
          <w:sz w:val="22"/>
          <w:szCs w:val="22"/>
          <w:highlight w:val="none"/>
        </w:rPr>
      </w:pPr>
    </w:p>
    <w:p w14:paraId="0CBCA123">
      <w:pPr>
        <w:pStyle w:val="17"/>
        <w:spacing w:line="276" w:lineRule="auto"/>
        <w:rPr>
          <w:rFonts w:hint="default" w:ascii="Arial Narrow" w:hAnsi="Arial Narrow" w:cs="Arial Narrow"/>
          <w:b/>
          <w:bCs/>
          <w:color w:val="auto"/>
          <w:highlight w:val="none"/>
          <w:lang w:val="sl-SI"/>
        </w:rPr>
      </w:pPr>
    </w:p>
    <w:tbl>
      <w:tblPr>
        <w:tblStyle w:val="5"/>
        <w:tblW w:w="9171"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1383"/>
        <w:gridCol w:w="2325"/>
        <w:gridCol w:w="4215"/>
      </w:tblGrid>
      <w:tr w14:paraId="7797D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14:paraId="68C1B2FF">
            <w:pPr>
              <w:rPr>
                <w:rFonts w:eastAsia="Calibri" w:asciiTheme="minorHAnsi" w:hAnsiTheme="minorHAnsi" w:cstheme="minorHAnsi"/>
                <w:sz w:val="18"/>
                <w:szCs w:val="18"/>
                <w:highlight w:val="none"/>
              </w:rPr>
            </w:pPr>
          </w:p>
        </w:tc>
        <w:tc>
          <w:tcPr>
            <w:tcW w:w="1383" w:type="dxa"/>
          </w:tcPr>
          <w:p w14:paraId="73C48F04">
            <w:pPr>
              <w:rPr>
                <w:rFonts w:hint="default" w:eastAsia="Calibri" w:asciiTheme="minorHAnsi" w:hAnsiTheme="minorHAnsi" w:cstheme="minorHAnsi"/>
                <w:sz w:val="18"/>
                <w:szCs w:val="18"/>
                <w:highlight w:val="none"/>
                <w:lang w:val="sl-SI"/>
              </w:rPr>
            </w:pPr>
            <w:r>
              <w:rPr>
                <w:rFonts w:eastAsia="Calibri" w:asciiTheme="minorHAnsi" w:hAnsiTheme="minorHAnsi" w:cstheme="minorHAnsi"/>
                <w:sz w:val="18"/>
                <w:szCs w:val="18"/>
                <w:highlight w:val="none"/>
              </w:rPr>
              <w:t>ŠT.</w:t>
            </w:r>
            <w:r>
              <w:rPr>
                <w:rFonts w:hint="default" w:eastAsia="Calibri" w:asciiTheme="minorHAnsi" w:hAnsiTheme="minorHAnsi" w:cstheme="minorHAnsi"/>
                <w:sz w:val="18"/>
                <w:szCs w:val="18"/>
                <w:highlight w:val="none"/>
                <w:lang w:val="sl-SI"/>
              </w:rPr>
              <w:t xml:space="preserve"> </w:t>
            </w:r>
            <w:r>
              <w:rPr>
                <w:rFonts w:eastAsia="Calibri" w:asciiTheme="minorHAnsi" w:hAnsiTheme="minorHAnsi" w:cstheme="minorHAnsi"/>
                <w:sz w:val="18"/>
                <w:szCs w:val="18"/>
                <w:highlight w:val="none"/>
              </w:rPr>
              <w:t>KO</w:t>
            </w:r>
            <w:r>
              <w:rPr>
                <w:rFonts w:hint="default" w:eastAsia="Calibri" w:asciiTheme="minorHAnsi" w:hAnsiTheme="minorHAnsi" w:cstheme="minorHAnsi"/>
                <w:sz w:val="18"/>
                <w:szCs w:val="18"/>
                <w:highlight w:val="none"/>
                <w:lang w:val="sl-SI"/>
              </w:rPr>
              <w:t>SOV</w:t>
            </w:r>
          </w:p>
        </w:tc>
        <w:tc>
          <w:tcPr>
            <w:tcW w:w="2325" w:type="dxa"/>
          </w:tcPr>
          <w:p w14:paraId="3A7D0870">
            <w:pPr>
              <w:rPr>
                <w:rFonts w:eastAsia="Calibri" w:asciiTheme="minorHAnsi" w:hAnsiTheme="minorHAnsi" w:cstheme="minorHAnsi"/>
                <w:sz w:val="18"/>
                <w:szCs w:val="18"/>
                <w:highlight w:val="none"/>
              </w:rPr>
            </w:pPr>
            <w:r>
              <w:rPr>
                <w:rFonts w:eastAsia="Calibri" w:asciiTheme="minorHAnsi" w:hAnsiTheme="minorHAnsi" w:cstheme="minorHAnsi"/>
                <w:sz w:val="18"/>
                <w:szCs w:val="18"/>
                <w:highlight w:val="none"/>
              </w:rPr>
              <w:t>OBLIKA</w:t>
            </w:r>
          </w:p>
        </w:tc>
        <w:tc>
          <w:tcPr>
            <w:tcW w:w="4215" w:type="dxa"/>
          </w:tcPr>
          <w:p w14:paraId="77E3E0B5">
            <w:pPr>
              <w:ind w:left="-13"/>
              <w:rPr>
                <w:rFonts w:hint="default" w:eastAsia="Calibri" w:asciiTheme="minorHAnsi" w:hAnsiTheme="minorHAnsi" w:cstheme="minorHAnsi"/>
                <w:sz w:val="18"/>
                <w:szCs w:val="18"/>
                <w:highlight w:val="none"/>
                <w:lang w:val="sl-SI"/>
              </w:rPr>
            </w:pPr>
            <w:r>
              <w:rPr>
                <w:rFonts w:eastAsia="Calibri" w:asciiTheme="minorHAnsi" w:hAnsiTheme="minorHAnsi" w:cstheme="minorHAnsi"/>
                <w:sz w:val="18"/>
                <w:szCs w:val="18"/>
                <w:highlight w:val="none"/>
              </w:rPr>
              <w:t>VSEBINA</w:t>
            </w:r>
            <w:r>
              <w:rPr>
                <w:rFonts w:hint="default" w:eastAsia="Calibri" w:asciiTheme="minorHAnsi" w:hAnsiTheme="minorHAnsi" w:cstheme="minorHAnsi"/>
                <w:sz w:val="18"/>
                <w:szCs w:val="18"/>
                <w:highlight w:val="none"/>
                <w:lang w:val="sl-SI"/>
              </w:rPr>
              <w:t xml:space="preserve"> VSEH PLAKATOV</w:t>
            </w:r>
          </w:p>
        </w:tc>
      </w:tr>
      <w:tr w14:paraId="53B47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14:paraId="0E2D66D1">
            <w:pPr>
              <w:rPr>
                <w:rFonts w:eastAsia="Calibri" w:asciiTheme="minorHAnsi" w:hAnsiTheme="minorHAnsi" w:cstheme="minorHAnsi"/>
                <w:sz w:val="18"/>
                <w:szCs w:val="18"/>
                <w:highlight w:val="none"/>
              </w:rPr>
            </w:pPr>
            <w:r>
              <w:rPr>
                <w:rFonts w:eastAsia="Calibri" w:asciiTheme="minorHAnsi" w:hAnsiTheme="minorHAnsi" w:cstheme="minorHAnsi"/>
                <w:sz w:val="18"/>
                <w:szCs w:val="18"/>
                <w:highlight w:val="none"/>
              </w:rPr>
              <w:t>PLAKATI</w:t>
            </w:r>
          </w:p>
        </w:tc>
        <w:tc>
          <w:tcPr>
            <w:tcW w:w="1383" w:type="dxa"/>
          </w:tcPr>
          <w:p w14:paraId="70CF8EEE">
            <w:pPr>
              <w:rPr>
                <w:rFonts w:hint="default" w:eastAsia="Calibri" w:asciiTheme="minorHAnsi" w:hAnsiTheme="minorHAnsi" w:cstheme="minorHAnsi"/>
                <w:sz w:val="18"/>
                <w:szCs w:val="18"/>
                <w:highlight w:val="none"/>
                <w:lang w:val="sl-SI"/>
              </w:rPr>
            </w:pPr>
            <w:r>
              <w:rPr>
                <w:rFonts w:hint="default" w:eastAsia="Calibri" w:asciiTheme="minorHAnsi" w:hAnsiTheme="minorHAnsi" w:cstheme="minorHAnsi"/>
                <w:sz w:val="18"/>
                <w:szCs w:val="18"/>
                <w:highlight w:val="none"/>
                <w:lang w:val="sl-SI"/>
              </w:rPr>
              <w:t>3</w:t>
            </w:r>
            <w:r>
              <w:rPr>
                <w:rFonts w:eastAsia="Calibri" w:asciiTheme="minorHAnsi" w:hAnsiTheme="minorHAnsi" w:cstheme="minorHAnsi"/>
                <w:sz w:val="18"/>
                <w:szCs w:val="18"/>
                <w:highlight w:val="none"/>
              </w:rPr>
              <w:t xml:space="preserve"> ko</w:t>
            </w:r>
            <w:r>
              <w:rPr>
                <w:rFonts w:hint="default" w:eastAsia="Calibri" w:asciiTheme="minorHAnsi" w:hAnsiTheme="minorHAnsi" w:cstheme="minorHAnsi"/>
                <w:sz w:val="18"/>
                <w:szCs w:val="18"/>
                <w:highlight w:val="none"/>
                <w:lang w:val="sl-SI"/>
              </w:rPr>
              <w:t>si</w:t>
            </w:r>
          </w:p>
          <w:p w14:paraId="0C1E7EFC">
            <w:pPr>
              <w:rPr>
                <w:rFonts w:eastAsia="Calibri" w:asciiTheme="minorHAnsi" w:hAnsiTheme="minorHAnsi" w:cstheme="minorHAnsi"/>
                <w:sz w:val="18"/>
                <w:szCs w:val="18"/>
                <w:highlight w:val="none"/>
              </w:rPr>
            </w:pPr>
          </w:p>
        </w:tc>
        <w:tc>
          <w:tcPr>
            <w:tcW w:w="2325" w:type="dxa"/>
          </w:tcPr>
          <w:p w14:paraId="133FDB84">
            <w:pPr>
              <w:numPr>
                <w:ilvl w:val="0"/>
                <w:numId w:val="1"/>
              </w:numPr>
              <w:ind w:left="246" w:hanging="214"/>
              <w:rPr>
                <w:rFonts w:asciiTheme="minorHAnsi" w:hAnsiTheme="minorHAnsi" w:cstheme="minorHAnsi"/>
                <w:sz w:val="18"/>
                <w:szCs w:val="18"/>
                <w:highlight w:val="none"/>
              </w:rPr>
            </w:pPr>
            <w:r>
              <w:rPr>
                <w:rFonts w:asciiTheme="minorHAnsi" w:hAnsiTheme="minorHAnsi" w:cstheme="minorHAnsi"/>
                <w:sz w:val="18"/>
                <w:szCs w:val="18"/>
                <w:highlight w:val="none"/>
              </w:rPr>
              <w:t>kaširani na plošče</w:t>
            </w:r>
          </w:p>
          <w:p w14:paraId="0B7C4AAD">
            <w:pPr>
              <w:numPr>
                <w:ilvl w:val="0"/>
                <w:numId w:val="1"/>
              </w:numPr>
              <w:ind w:left="246" w:hanging="214"/>
              <w:rPr>
                <w:rFonts w:asciiTheme="minorHAnsi" w:hAnsiTheme="minorHAnsi" w:cstheme="minorHAnsi"/>
                <w:sz w:val="18"/>
                <w:szCs w:val="18"/>
                <w:highlight w:val="none"/>
              </w:rPr>
            </w:pPr>
            <w:r>
              <w:rPr>
                <w:rFonts w:asciiTheme="minorHAnsi" w:hAnsiTheme="minorHAnsi" w:cstheme="minorHAnsi"/>
                <w:sz w:val="18"/>
                <w:szCs w:val="18"/>
                <w:highlight w:val="none"/>
              </w:rPr>
              <w:t>pokončni format, dimenzije: 70/100 cm</w:t>
            </w:r>
          </w:p>
          <w:p w14:paraId="1E2B9FCA">
            <w:pPr>
              <w:numPr>
                <w:ilvl w:val="0"/>
                <w:numId w:val="1"/>
              </w:numPr>
              <w:ind w:left="246" w:hanging="214"/>
              <w:rPr>
                <w:rFonts w:asciiTheme="minorHAnsi" w:hAnsiTheme="minorHAnsi" w:cstheme="minorHAnsi"/>
                <w:sz w:val="18"/>
                <w:szCs w:val="18"/>
                <w:highlight w:val="none"/>
              </w:rPr>
            </w:pPr>
            <w:r>
              <w:rPr>
                <w:rFonts w:asciiTheme="minorHAnsi" w:hAnsiTheme="minorHAnsi" w:cstheme="minorHAnsi"/>
                <w:sz w:val="18"/>
                <w:szCs w:val="18"/>
                <w:highlight w:val="none"/>
              </w:rPr>
              <w:t>prikaz severa</w:t>
            </w:r>
          </w:p>
          <w:p w14:paraId="56D63CC0">
            <w:pPr>
              <w:numPr>
                <w:ilvl w:val="0"/>
                <w:numId w:val="1"/>
              </w:numPr>
              <w:ind w:left="246" w:hanging="214"/>
              <w:rPr>
                <w:rFonts w:asciiTheme="minorHAnsi" w:hAnsiTheme="minorHAnsi" w:cstheme="minorHAnsi"/>
                <w:sz w:val="18"/>
                <w:szCs w:val="18"/>
                <w:highlight w:val="none"/>
              </w:rPr>
            </w:pPr>
            <w:r>
              <w:rPr>
                <w:rFonts w:asciiTheme="minorHAnsi" w:hAnsiTheme="minorHAnsi" w:cstheme="minorHAnsi"/>
                <w:sz w:val="18"/>
                <w:szCs w:val="18"/>
                <w:highlight w:val="none"/>
              </w:rPr>
              <w:t>šifra natečajnega elaborata</w:t>
            </w:r>
            <w:r>
              <w:rPr>
                <w:rFonts w:hint="default" w:asciiTheme="minorHAnsi" w:hAnsiTheme="minorHAnsi" w:cstheme="minorHAnsi"/>
                <w:sz w:val="18"/>
                <w:szCs w:val="18"/>
                <w:highlight w:val="none"/>
                <w:lang w:val="sl-SI"/>
              </w:rPr>
              <w:t xml:space="preserve"> desno zgoraj</w:t>
            </w:r>
          </w:p>
          <w:p w14:paraId="6A10AA76">
            <w:pPr>
              <w:numPr>
                <w:ilvl w:val="0"/>
                <w:numId w:val="1"/>
              </w:numPr>
              <w:ind w:left="246" w:hanging="214"/>
              <w:rPr>
                <w:rFonts w:asciiTheme="minorHAnsi" w:hAnsiTheme="minorHAnsi" w:cstheme="minorHAnsi"/>
                <w:sz w:val="18"/>
                <w:szCs w:val="18"/>
                <w:highlight w:val="none"/>
              </w:rPr>
            </w:pPr>
            <w:r>
              <w:rPr>
                <w:rFonts w:asciiTheme="minorHAnsi" w:hAnsiTheme="minorHAnsi" w:cstheme="minorHAnsi"/>
                <w:sz w:val="18"/>
                <w:szCs w:val="18"/>
                <w:highlight w:val="none"/>
              </w:rPr>
              <w:t xml:space="preserve">delitev vsebin po plakatih je </w:t>
            </w:r>
            <w:r>
              <w:rPr>
                <w:rFonts w:hint="default" w:asciiTheme="minorHAnsi" w:hAnsiTheme="minorHAnsi" w:cstheme="minorHAnsi"/>
                <w:sz w:val="18"/>
                <w:szCs w:val="18"/>
                <w:highlight w:val="none"/>
                <w:lang w:val="sl-SI"/>
              </w:rPr>
              <w:t>ne</w:t>
            </w:r>
            <w:r>
              <w:rPr>
                <w:rFonts w:asciiTheme="minorHAnsi" w:hAnsiTheme="minorHAnsi" w:cstheme="minorHAnsi"/>
                <w:sz w:val="18"/>
                <w:szCs w:val="18"/>
                <w:highlight w:val="none"/>
              </w:rPr>
              <w:t>obvezujoča, razporeditev v okviru plakata natečajnik lahko smiselno prilagodi svoji rešitvi</w:t>
            </w:r>
          </w:p>
          <w:p w14:paraId="2A5B820D">
            <w:pPr>
              <w:rPr>
                <w:rFonts w:asciiTheme="minorHAnsi" w:hAnsiTheme="minorHAnsi" w:cstheme="minorHAnsi"/>
                <w:sz w:val="18"/>
                <w:szCs w:val="18"/>
                <w:highlight w:val="none"/>
              </w:rPr>
            </w:pPr>
          </w:p>
        </w:tc>
        <w:tc>
          <w:tcPr>
            <w:tcW w:w="4215" w:type="dxa"/>
          </w:tcPr>
          <w:p w14:paraId="2F174793">
            <w:pPr>
              <w:numPr>
                <w:ilvl w:val="0"/>
                <w:numId w:val="1"/>
              </w:numPr>
              <w:ind w:left="317" w:hanging="284"/>
              <w:rPr>
                <w:rFonts w:asciiTheme="minorHAnsi" w:hAnsiTheme="minorHAnsi" w:cstheme="minorHAnsi"/>
                <w:sz w:val="18"/>
                <w:szCs w:val="18"/>
                <w:highlight w:val="none"/>
              </w:rPr>
            </w:pPr>
            <w:r>
              <w:rPr>
                <w:rFonts w:eastAsia="Calibri" w:asciiTheme="minorHAnsi" w:hAnsiTheme="minorHAnsi" w:cstheme="minorHAnsi"/>
                <w:sz w:val="18"/>
                <w:szCs w:val="18"/>
                <w:highlight w:val="none"/>
              </w:rPr>
              <w:t>ureditvena situacija celotnega območja, M 1:500</w:t>
            </w:r>
          </w:p>
          <w:p w14:paraId="67FCA0F7">
            <w:pPr>
              <w:numPr>
                <w:ilvl w:val="0"/>
                <w:numId w:val="1"/>
              </w:numPr>
              <w:ind w:left="317" w:hanging="284"/>
              <w:rPr>
                <w:rFonts w:asciiTheme="minorHAnsi" w:hAnsiTheme="minorHAnsi" w:cstheme="minorHAnsi"/>
                <w:sz w:val="18"/>
                <w:szCs w:val="18"/>
                <w:highlight w:val="none"/>
              </w:rPr>
            </w:pPr>
            <w:r>
              <w:rPr>
                <w:rFonts w:asciiTheme="minorHAnsi" w:hAnsiTheme="minorHAnsi" w:cstheme="minorHAnsi"/>
                <w:sz w:val="18"/>
                <w:szCs w:val="18"/>
                <w:highlight w:val="none"/>
              </w:rPr>
              <w:t>sheme (zasnova, promet, zelene površine)</w:t>
            </w:r>
          </w:p>
          <w:p w14:paraId="0754D13A">
            <w:pPr>
              <w:numPr>
                <w:ilvl w:val="0"/>
                <w:numId w:val="1"/>
              </w:numPr>
              <w:ind w:left="317" w:hanging="284"/>
              <w:rPr>
                <w:rFonts w:asciiTheme="minorHAnsi" w:hAnsiTheme="minorHAnsi" w:cstheme="minorHAnsi"/>
                <w:sz w:val="18"/>
                <w:szCs w:val="18"/>
                <w:highlight w:val="none"/>
              </w:rPr>
            </w:pPr>
            <w:r>
              <w:rPr>
                <w:rFonts w:asciiTheme="minorHAnsi" w:hAnsiTheme="minorHAnsi" w:cstheme="minorHAnsi"/>
                <w:sz w:val="18"/>
                <w:szCs w:val="18"/>
                <w:highlight w:val="none"/>
              </w:rPr>
              <w:t>drugi prikazi po presoji natečajnika</w:t>
            </w:r>
          </w:p>
          <w:p w14:paraId="6CBA2102">
            <w:pPr>
              <w:numPr>
                <w:ilvl w:val="0"/>
                <w:numId w:val="1"/>
              </w:numPr>
              <w:ind w:left="317" w:hanging="284"/>
              <w:rPr>
                <w:rFonts w:asciiTheme="minorHAnsi" w:hAnsiTheme="minorHAnsi" w:cstheme="minorHAnsi"/>
                <w:sz w:val="18"/>
                <w:szCs w:val="18"/>
                <w:highlight w:val="none"/>
              </w:rPr>
            </w:pPr>
            <w:r>
              <w:rPr>
                <w:rFonts w:hint="default" w:asciiTheme="minorHAnsi" w:hAnsiTheme="minorHAnsi" w:cstheme="minorHAnsi"/>
                <w:sz w:val="18"/>
                <w:szCs w:val="18"/>
                <w:highlight w:val="none"/>
                <w:lang w:val="sl-SI"/>
              </w:rPr>
              <w:t>Tloris pritličja M 1:100 ali 1:200</w:t>
            </w:r>
          </w:p>
          <w:p w14:paraId="67BC6FC4">
            <w:pPr>
              <w:numPr>
                <w:ilvl w:val="0"/>
                <w:numId w:val="1"/>
              </w:numPr>
              <w:ind w:left="317" w:hanging="284"/>
              <w:rPr>
                <w:rFonts w:asciiTheme="minorHAnsi" w:hAnsiTheme="minorHAnsi" w:cstheme="minorHAnsi"/>
                <w:sz w:val="18"/>
                <w:szCs w:val="18"/>
                <w:highlight w:val="none"/>
              </w:rPr>
            </w:pPr>
            <w:r>
              <w:rPr>
                <w:rFonts w:hint="default" w:asciiTheme="minorHAnsi" w:hAnsiTheme="minorHAnsi" w:cstheme="minorHAnsi"/>
                <w:sz w:val="18"/>
                <w:szCs w:val="18"/>
                <w:highlight w:val="none"/>
                <w:lang w:val="sl-SI"/>
              </w:rPr>
              <w:t>Tloris nadstropij M 1:100 ali 1:200</w:t>
            </w:r>
          </w:p>
          <w:p w14:paraId="50482711">
            <w:pPr>
              <w:numPr>
                <w:ilvl w:val="0"/>
                <w:numId w:val="1"/>
              </w:numPr>
              <w:ind w:left="317" w:hanging="284"/>
              <w:rPr>
                <w:rFonts w:asciiTheme="minorHAnsi" w:hAnsiTheme="minorHAnsi" w:cstheme="minorHAnsi"/>
                <w:sz w:val="18"/>
                <w:szCs w:val="18"/>
                <w:highlight w:val="none"/>
              </w:rPr>
            </w:pPr>
            <w:r>
              <w:rPr>
                <w:rFonts w:hint="default" w:asciiTheme="minorHAnsi" w:hAnsiTheme="minorHAnsi" w:cstheme="minorHAnsi"/>
                <w:sz w:val="18"/>
                <w:szCs w:val="18"/>
                <w:highlight w:val="none"/>
                <w:lang w:val="sl-SI"/>
              </w:rPr>
              <w:t>Situacija s pritličjem 1:200 ali 1:250</w:t>
            </w:r>
          </w:p>
          <w:p w14:paraId="73041670">
            <w:pPr>
              <w:numPr>
                <w:ilvl w:val="0"/>
                <w:numId w:val="1"/>
              </w:numPr>
              <w:ind w:left="317" w:hanging="284"/>
              <w:rPr>
                <w:rFonts w:asciiTheme="minorHAnsi" w:hAnsiTheme="minorHAnsi" w:cstheme="minorHAnsi"/>
                <w:sz w:val="18"/>
                <w:szCs w:val="18"/>
                <w:highlight w:val="none"/>
              </w:rPr>
            </w:pPr>
            <w:r>
              <w:rPr>
                <w:rFonts w:asciiTheme="minorHAnsi" w:hAnsiTheme="minorHAnsi" w:cstheme="minorHAnsi"/>
                <w:sz w:val="18"/>
                <w:szCs w:val="18"/>
                <w:highlight w:val="none"/>
              </w:rPr>
              <w:t>drugi prikazi po presoji natečajnika</w:t>
            </w:r>
          </w:p>
          <w:p w14:paraId="50273589">
            <w:pPr>
              <w:numPr>
                <w:ilvl w:val="0"/>
                <w:numId w:val="1"/>
              </w:numPr>
              <w:ind w:left="317" w:hanging="284"/>
              <w:rPr>
                <w:rFonts w:asciiTheme="minorHAnsi" w:hAnsiTheme="minorHAnsi" w:cstheme="minorHAnsi"/>
                <w:sz w:val="18"/>
                <w:szCs w:val="18"/>
                <w:highlight w:val="none"/>
              </w:rPr>
            </w:pPr>
            <w:r>
              <w:rPr>
                <w:rFonts w:hint="default" w:asciiTheme="minorHAnsi" w:hAnsiTheme="minorHAnsi" w:cstheme="minorHAnsi"/>
                <w:sz w:val="18"/>
                <w:szCs w:val="18"/>
                <w:highlight w:val="none"/>
                <w:lang w:val="sl-SI"/>
              </w:rPr>
              <w:t>3D prikaz (aksonometrija) umeščenosti objekta v širše območje urbanega konteksta</w:t>
            </w:r>
          </w:p>
          <w:p w14:paraId="17EE4869">
            <w:pPr>
              <w:numPr>
                <w:ilvl w:val="0"/>
                <w:numId w:val="1"/>
              </w:numPr>
              <w:ind w:left="317" w:hanging="284"/>
              <w:rPr>
                <w:rFonts w:asciiTheme="minorHAnsi" w:hAnsiTheme="minorHAnsi" w:cstheme="minorHAnsi"/>
                <w:sz w:val="18"/>
                <w:szCs w:val="18"/>
                <w:highlight w:val="none"/>
              </w:rPr>
            </w:pPr>
            <w:r>
              <w:rPr>
                <w:rFonts w:hint="default" w:asciiTheme="minorHAnsi" w:hAnsiTheme="minorHAnsi" w:cstheme="minorHAnsi"/>
                <w:sz w:val="18"/>
                <w:szCs w:val="18"/>
                <w:highlight w:val="none"/>
                <w:lang w:val="sl-SI"/>
              </w:rPr>
              <w:t>3D prikaz (render) iz očišča 1 (pril. fotografija 1)</w:t>
            </w:r>
          </w:p>
          <w:p w14:paraId="7926FC05">
            <w:pPr>
              <w:numPr>
                <w:ilvl w:val="0"/>
                <w:numId w:val="1"/>
              </w:numPr>
              <w:ind w:left="317" w:hanging="284"/>
              <w:rPr>
                <w:rFonts w:asciiTheme="minorHAnsi" w:hAnsiTheme="minorHAnsi" w:cstheme="minorHAnsi"/>
                <w:sz w:val="18"/>
                <w:szCs w:val="18"/>
                <w:highlight w:val="none"/>
              </w:rPr>
            </w:pPr>
            <w:r>
              <w:rPr>
                <w:rFonts w:hint="default" w:asciiTheme="minorHAnsi" w:hAnsiTheme="minorHAnsi" w:cstheme="minorHAnsi"/>
                <w:sz w:val="18"/>
                <w:szCs w:val="18"/>
                <w:highlight w:val="none"/>
                <w:lang w:val="sl-SI"/>
              </w:rPr>
              <w:t>3D prikaz (render) iz očišča 2 (pril. fotografija 2)</w:t>
            </w:r>
          </w:p>
          <w:p w14:paraId="2B544279">
            <w:pPr>
              <w:numPr>
                <w:ilvl w:val="0"/>
                <w:numId w:val="1"/>
              </w:numPr>
              <w:ind w:left="317" w:hanging="284"/>
              <w:rPr>
                <w:rFonts w:asciiTheme="minorHAnsi" w:hAnsiTheme="minorHAnsi" w:cstheme="minorHAnsi"/>
                <w:sz w:val="18"/>
                <w:szCs w:val="18"/>
                <w:highlight w:val="none"/>
              </w:rPr>
            </w:pPr>
            <w:r>
              <w:rPr>
                <w:rFonts w:hint="default" w:asciiTheme="minorHAnsi" w:hAnsiTheme="minorHAnsi" w:cstheme="minorHAnsi"/>
                <w:sz w:val="18"/>
                <w:szCs w:val="18"/>
                <w:highlight w:val="none"/>
                <w:lang w:val="sl-SI"/>
              </w:rPr>
              <w:t xml:space="preserve">podrobnejši prikaz zunanje ureditve pred objektom (tloris, prerez, aksonometrija) </w:t>
            </w:r>
          </w:p>
          <w:p w14:paraId="2A21A4FD">
            <w:pPr>
              <w:numPr>
                <w:ilvl w:val="0"/>
                <w:numId w:val="1"/>
              </w:numPr>
              <w:ind w:left="317" w:hanging="284"/>
              <w:rPr>
                <w:rFonts w:eastAsia="Calibri" w:asciiTheme="minorHAnsi" w:hAnsiTheme="minorHAnsi" w:cstheme="minorHAnsi"/>
                <w:sz w:val="18"/>
                <w:szCs w:val="18"/>
                <w:highlight w:val="none"/>
              </w:rPr>
            </w:pPr>
            <w:r>
              <w:rPr>
                <w:rFonts w:asciiTheme="minorHAnsi" w:hAnsiTheme="minorHAnsi" w:cstheme="minorHAnsi"/>
                <w:sz w:val="18"/>
                <w:szCs w:val="18"/>
                <w:highlight w:val="none"/>
              </w:rPr>
              <w:t>drugi prikazi po presoji natečajnika</w:t>
            </w:r>
          </w:p>
        </w:tc>
      </w:tr>
      <w:tr w14:paraId="74993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14:paraId="6EA873D3">
            <w:pPr>
              <w:rPr>
                <w:rFonts w:eastAsia="Calibri" w:asciiTheme="minorHAnsi" w:hAnsiTheme="minorHAnsi" w:cstheme="minorHAnsi"/>
                <w:sz w:val="18"/>
                <w:szCs w:val="18"/>
              </w:rPr>
            </w:pPr>
            <w:r>
              <w:rPr>
                <w:rFonts w:eastAsia="Calibri" w:asciiTheme="minorHAnsi" w:hAnsiTheme="minorHAnsi" w:cstheme="minorHAnsi"/>
                <w:sz w:val="18"/>
                <w:szCs w:val="18"/>
              </w:rPr>
              <w:t xml:space="preserve">MAPA </w:t>
            </w:r>
          </w:p>
        </w:tc>
        <w:tc>
          <w:tcPr>
            <w:tcW w:w="1383" w:type="dxa"/>
          </w:tcPr>
          <w:p w14:paraId="2752D3C7">
            <w:pPr>
              <w:rPr>
                <w:rFonts w:eastAsia="Calibri" w:asciiTheme="minorHAnsi" w:hAnsiTheme="minorHAnsi" w:cstheme="minorHAnsi"/>
                <w:sz w:val="18"/>
                <w:szCs w:val="18"/>
              </w:rPr>
            </w:pPr>
            <w:r>
              <w:rPr>
                <w:rFonts w:hint="default" w:eastAsia="Calibri" w:asciiTheme="minorHAnsi" w:hAnsiTheme="minorHAnsi" w:cstheme="minorHAnsi"/>
                <w:sz w:val="18"/>
                <w:szCs w:val="18"/>
                <w:lang w:val="sl-SI"/>
              </w:rPr>
              <w:t>2</w:t>
            </w:r>
            <w:r>
              <w:rPr>
                <w:rFonts w:eastAsia="Calibri" w:asciiTheme="minorHAnsi" w:hAnsiTheme="minorHAnsi" w:cstheme="minorHAnsi"/>
                <w:sz w:val="18"/>
                <w:szCs w:val="18"/>
              </w:rPr>
              <w:t xml:space="preserve"> </w:t>
            </w:r>
            <w:r>
              <w:rPr>
                <w:rFonts w:hint="default" w:eastAsia="Calibri" w:asciiTheme="minorHAnsi" w:hAnsiTheme="minorHAnsi" w:cstheme="minorHAnsi"/>
                <w:sz w:val="18"/>
                <w:szCs w:val="18"/>
                <w:lang w:val="sl-SI"/>
              </w:rPr>
              <w:t>izvoda</w:t>
            </w:r>
            <w:r>
              <w:rPr>
                <w:rFonts w:eastAsia="Calibri" w:asciiTheme="minorHAnsi" w:hAnsiTheme="minorHAnsi" w:cstheme="minorHAnsi"/>
                <w:sz w:val="18"/>
                <w:szCs w:val="18"/>
              </w:rPr>
              <w:t xml:space="preserve"> v tiskani obliki</w:t>
            </w:r>
          </w:p>
          <w:p w14:paraId="1E53DEB2">
            <w:pPr>
              <w:rPr>
                <w:rFonts w:eastAsia="Calibri" w:asciiTheme="minorHAnsi" w:hAnsiTheme="minorHAnsi" w:cstheme="minorHAnsi"/>
                <w:sz w:val="18"/>
                <w:szCs w:val="18"/>
              </w:rPr>
            </w:pPr>
          </w:p>
        </w:tc>
        <w:tc>
          <w:tcPr>
            <w:tcW w:w="2325" w:type="dxa"/>
          </w:tcPr>
          <w:p w14:paraId="219361BB">
            <w:pPr>
              <w:numPr>
                <w:ilvl w:val="0"/>
                <w:numId w:val="2"/>
              </w:numPr>
              <w:ind w:left="246" w:hanging="283"/>
              <w:rPr>
                <w:rFonts w:eastAsia="Calibri" w:asciiTheme="minorHAnsi" w:hAnsiTheme="minorHAnsi" w:cstheme="minorHAnsi"/>
                <w:sz w:val="18"/>
                <w:szCs w:val="18"/>
              </w:rPr>
            </w:pPr>
            <w:r>
              <w:rPr>
                <w:rFonts w:eastAsia="Calibri" w:asciiTheme="minorHAnsi" w:hAnsiTheme="minorHAnsi" w:cstheme="minorHAnsi"/>
                <w:sz w:val="18"/>
                <w:szCs w:val="18"/>
              </w:rPr>
              <w:t xml:space="preserve">format A3, </w:t>
            </w:r>
          </w:p>
          <w:p w14:paraId="66EAB0D4">
            <w:pPr>
              <w:numPr>
                <w:ilvl w:val="0"/>
                <w:numId w:val="2"/>
              </w:numPr>
              <w:ind w:left="246" w:hanging="283"/>
              <w:rPr>
                <w:rFonts w:eastAsia="Calibri" w:asciiTheme="minorHAnsi" w:hAnsiTheme="minorHAnsi" w:cstheme="minorHAnsi"/>
                <w:sz w:val="18"/>
                <w:szCs w:val="18"/>
              </w:rPr>
            </w:pPr>
            <w:r>
              <w:rPr>
                <w:rFonts w:eastAsia="Calibri" w:asciiTheme="minorHAnsi" w:hAnsiTheme="minorHAnsi" w:cstheme="minorHAnsi"/>
                <w:sz w:val="18"/>
                <w:szCs w:val="18"/>
              </w:rPr>
              <w:t>označena s šifro natečajnega elaborata,</w:t>
            </w:r>
          </w:p>
          <w:p w14:paraId="6D8D4911">
            <w:pPr>
              <w:ind w:left="246"/>
              <w:rPr>
                <w:rFonts w:eastAsia="Calibri" w:asciiTheme="minorHAnsi" w:hAnsiTheme="minorHAnsi" w:cstheme="minorHAnsi"/>
                <w:sz w:val="18"/>
                <w:szCs w:val="18"/>
              </w:rPr>
            </w:pPr>
          </w:p>
        </w:tc>
        <w:tc>
          <w:tcPr>
            <w:tcW w:w="4215" w:type="dxa"/>
          </w:tcPr>
          <w:p w14:paraId="792EFA16">
            <w:pPr>
              <w:ind w:left="109" w:hanging="109"/>
              <w:rPr>
                <w:rFonts w:asciiTheme="minorHAnsi" w:hAnsiTheme="minorHAnsi" w:cstheme="minorHAnsi"/>
                <w:sz w:val="18"/>
                <w:szCs w:val="18"/>
              </w:rPr>
            </w:pPr>
            <w:r>
              <w:rPr>
                <w:rFonts w:asciiTheme="minorHAnsi" w:hAnsiTheme="minorHAnsi" w:cstheme="minorHAnsi"/>
                <w:sz w:val="18"/>
                <w:szCs w:val="18"/>
              </w:rPr>
              <w:t>GRAFIČNI DEL:</w:t>
            </w:r>
          </w:p>
          <w:p w14:paraId="72E9A43E">
            <w:pPr>
              <w:pStyle w:val="15"/>
              <w:numPr>
                <w:ilvl w:val="0"/>
                <w:numId w:val="3"/>
              </w:numPr>
              <w:spacing w:after="0" w:line="240" w:lineRule="auto"/>
              <w:ind w:left="251" w:hanging="142"/>
              <w:jc w:val="both"/>
              <w:rPr>
                <w:rFonts w:asciiTheme="minorHAnsi" w:hAnsiTheme="minorHAnsi" w:cstheme="minorHAnsi"/>
                <w:sz w:val="18"/>
                <w:szCs w:val="18"/>
              </w:rPr>
            </w:pPr>
            <w:r>
              <w:rPr>
                <w:rFonts w:asciiTheme="minorHAnsi" w:hAnsiTheme="minorHAnsi" w:cstheme="minorHAnsi"/>
                <w:sz w:val="18"/>
                <w:szCs w:val="18"/>
              </w:rPr>
              <w:t>pomanjšani plakati na format A3</w:t>
            </w:r>
          </w:p>
          <w:p w14:paraId="68116FE3">
            <w:pPr>
              <w:pStyle w:val="15"/>
              <w:numPr>
                <w:ilvl w:val="0"/>
                <w:numId w:val="3"/>
              </w:numPr>
              <w:spacing w:after="0" w:line="240" w:lineRule="auto"/>
              <w:ind w:left="251" w:hanging="142"/>
              <w:jc w:val="both"/>
              <w:rPr>
                <w:rFonts w:asciiTheme="minorHAnsi" w:hAnsiTheme="minorHAnsi" w:cstheme="minorHAnsi"/>
                <w:sz w:val="18"/>
                <w:szCs w:val="18"/>
              </w:rPr>
            </w:pPr>
            <w:r>
              <w:rPr>
                <w:rFonts w:asciiTheme="minorHAnsi" w:hAnsiTheme="minorHAnsi" w:cstheme="minorHAnsi"/>
                <w:sz w:val="18"/>
                <w:szCs w:val="18"/>
              </w:rPr>
              <w:t>vse pomanjšane grafične prikaze s plakatov prilagojene na format A3*</w:t>
            </w:r>
          </w:p>
          <w:p w14:paraId="4BC1C778">
            <w:pPr>
              <w:ind w:left="109" w:hanging="109"/>
              <w:rPr>
                <w:rFonts w:asciiTheme="minorHAnsi" w:hAnsiTheme="minorHAnsi" w:cstheme="minorHAnsi"/>
                <w:sz w:val="18"/>
                <w:szCs w:val="18"/>
              </w:rPr>
            </w:pPr>
            <w:r>
              <w:rPr>
                <w:rFonts w:asciiTheme="minorHAnsi" w:hAnsiTheme="minorHAnsi" w:cstheme="minorHAnsi"/>
                <w:sz w:val="18"/>
                <w:szCs w:val="18"/>
              </w:rPr>
              <w:t>TEKSTUALNI DEL:</w:t>
            </w:r>
          </w:p>
          <w:p w14:paraId="4EA61502">
            <w:pPr>
              <w:pStyle w:val="15"/>
              <w:numPr>
                <w:ilvl w:val="0"/>
                <w:numId w:val="3"/>
              </w:numPr>
              <w:spacing w:after="0" w:line="240" w:lineRule="auto"/>
              <w:ind w:left="251" w:hanging="142"/>
              <w:jc w:val="both"/>
              <w:rPr>
                <w:rFonts w:asciiTheme="minorHAnsi" w:hAnsiTheme="minorHAnsi" w:cstheme="minorHAnsi"/>
                <w:sz w:val="18"/>
                <w:szCs w:val="18"/>
              </w:rPr>
            </w:pPr>
            <w:r>
              <w:rPr>
                <w:rFonts w:asciiTheme="minorHAnsi" w:hAnsiTheme="minorHAnsi" w:cstheme="minorHAnsi"/>
                <w:sz w:val="18"/>
                <w:szCs w:val="18"/>
              </w:rPr>
              <w:t xml:space="preserve">kratko, jasno in jedrnato tehnično poročilo na podlagi katerega bo lahko naročnik preveril oceno vrednosti investicije, na največ dveh listih A3. </w:t>
            </w:r>
          </w:p>
          <w:p w14:paraId="7CE0BB70">
            <w:pPr>
              <w:numPr>
                <w:ilvl w:val="0"/>
                <w:numId w:val="3"/>
              </w:numPr>
              <w:ind w:left="251" w:hanging="142"/>
              <w:rPr>
                <w:rFonts w:eastAsia="Calibri" w:asciiTheme="minorHAnsi" w:hAnsiTheme="minorHAnsi" w:cstheme="minorHAnsi"/>
                <w:sz w:val="18"/>
                <w:szCs w:val="18"/>
              </w:rPr>
            </w:pPr>
            <w:r>
              <w:rPr>
                <w:rFonts w:eastAsia="Calibri" w:asciiTheme="minorHAnsi" w:hAnsiTheme="minorHAnsi" w:cstheme="minorHAnsi"/>
                <w:sz w:val="18"/>
                <w:szCs w:val="18"/>
              </w:rPr>
              <w:t xml:space="preserve">prikaz površin </w:t>
            </w:r>
            <w:r>
              <w:rPr>
                <w:rFonts w:hint="default" w:eastAsia="Calibri" w:asciiTheme="minorHAnsi" w:hAnsiTheme="minorHAnsi" w:cstheme="minorHAnsi"/>
                <w:sz w:val="18"/>
                <w:szCs w:val="18"/>
                <w:lang w:val="sl-SI"/>
              </w:rPr>
              <w:t>objekta</w:t>
            </w:r>
          </w:p>
          <w:p w14:paraId="13AD98CB">
            <w:pPr>
              <w:numPr>
                <w:ilvl w:val="0"/>
                <w:numId w:val="3"/>
              </w:numPr>
              <w:ind w:left="251" w:hanging="142"/>
              <w:rPr>
                <w:rFonts w:asciiTheme="minorHAnsi" w:hAnsiTheme="minorHAnsi" w:cstheme="minorHAnsi"/>
                <w:sz w:val="18"/>
                <w:szCs w:val="18"/>
              </w:rPr>
            </w:pPr>
            <w:r>
              <w:rPr>
                <w:rFonts w:asciiTheme="minorHAnsi" w:hAnsiTheme="minorHAnsi" w:cstheme="minorHAnsi"/>
                <w:sz w:val="18"/>
                <w:szCs w:val="18"/>
              </w:rPr>
              <w:t>navedba zneska investicijske ocene za natečajno rešitev za GOI</w:t>
            </w:r>
            <w:r>
              <w:rPr>
                <w:rFonts w:hint="default" w:asciiTheme="minorHAnsi" w:hAnsiTheme="minorHAnsi" w:cstheme="minorHAnsi"/>
                <w:sz w:val="18"/>
                <w:szCs w:val="18"/>
                <w:lang w:val="sl-SI"/>
              </w:rPr>
              <w:t>+ZU+oprema</w:t>
            </w:r>
            <w:r>
              <w:rPr>
                <w:rFonts w:asciiTheme="minorHAnsi" w:hAnsiTheme="minorHAnsi" w:cstheme="minorHAnsi"/>
                <w:sz w:val="18"/>
                <w:szCs w:val="18"/>
              </w:rPr>
              <w:t xml:space="preserve"> </w:t>
            </w:r>
            <w:r>
              <w:rPr>
                <w:rFonts w:hint="default" w:asciiTheme="minorHAnsi" w:hAnsiTheme="minorHAnsi" w:cstheme="minorHAnsi"/>
                <w:sz w:val="18"/>
                <w:szCs w:val="18"/>
                <w:lang w:val="sl-SI"/>
              </w:rPr>
              <w:t>(</w:t>
            </w:r>
            <w:r>
              <w:rPr>
                <w:rFonts w:asciiTheme="minorHAnsi" w:hAnsiTheme="minorHAnsi" w:cstheme="minorHAnsi"/>
                <w:sz w:val="18"/>
                <w:szCs w:val="18"/>
              </w:rPr>
              <w:t>brez DDV</w:t>
            </w:r>
            <w:r>
              <w:rPr>
                <w:rFonts w:hint="default" w:asciiTheme="minorHAnsi" w:hAnsiTheme="minorHAnsi" w:cstheme="minorHAnsi"/>
                <w:sz w:val="18"/>
                <w:szCs w:val="18"/>
                <w:lang w:val="sl-SI"/>
              </w:rPr>
              <w:t>)</w:t>
            </w:r>
          </w:p>
          <w:p w14:paraId="002EB1D6">
            <w:pPr>
              <w:ind w:left="30"/>
              <w:rPr>
                <w:rFonts w:asciiTheme="minorHAnsi" w:hAnsiTheme="minorHAnsi" w:cstheme="minorHAnsi"/>
                <w:sz w:val="18"/>
                <w:szCs w:val="18"/>
              </w:rPr>
            </w:pPr>
            <w:r>
              <w:rPr>
                <w:rFonts w:asciiTheme="minorHAnsi" w:hAnsiTheme="minorHAnsi" w:cstheme="minorHAnsi"/>
                <w:sz w:val="18"/>
                <w:szCs w:val="18"/>
              </w:rPr>
              <w:t>Opomba:</w:t>
            </w:r>
          </w:p>
          <w:p w14:paraId="31118F90">
            <w:pPr>
              <w:ind w:left="30"/>
              <w:rPr>
                <w:rFonts w:asciiTheme="minorHAnsi" w:hAnsiTheme="minorHAnsi" w:cstheme="minorHAnsi"/>
                <w:sz w:val="18"/>
                <w:szCs w:val="18"/>
              </w:rPr>
            </w:pPr>
            <w:r>
              <w:rPr>
                <w:rFonts w:eastAsia="Calibri" w:asciiTheme="minorHAnsi" w:hAnsiTheme="minorHAnsi" w:cstheme="minorHAnsi"/>
                <w:sz w:val="18"/>
                <w:szCs w:val="18"/>
              </w:rPr>
              <w:t>Zaradi želje po sorazmerni obremenitvi natečajnikov</w:t>
            </w:r>
            <w:r>
              <w:rPr>
                <w:rFonts w:asciiTheme="minorHAnsi" w:hAnsiTheme="minorHAnsi" w:cstheme="minorHAnsi"/>
                <w:sz w:val="18"/>
                <w:szCs w:val="18"/>
              </w:rPr>
              <w:t xml:space="preserve"> naj bodo v mapo vključeni samo grafični prikazi s plakatov. Dodatne prikaze bo ocenjevalna komisija v mapi A3 prekrila in se pri ocenjevanju ne bodo upoštevali. </w:t>
            </w:r>
          </w:p>
        </w:tc>
      </w:tr>
      <w:tr w14:paraId="6FF39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8" w:type="dxa"/>
          </w:tcPr>
          <w:p w14:paraId="2D0013E6">
            <w:pPr>
              <w:rPr>
                <w:rFonts w:hint="default" w:eastAsia="Calibri" w:asciiTheme="minorHAnsi" w:hAnsiTheme="minorHAnsi" w:cstheme="minorHAnsi"/>
                <w:sz w:val="18"/>
                <w:szCs w:val="18"/>
                <w:lang w:val="sl-SI"/>
              </w:rPr>
            </w:pPr>
            <w:r>
              <w:rPr>
                <w:rFonts w:eastAsia="Calibri" w:asciiTheme="minorHAnsi" w:hAnsiTheme="minorHAnsi" w:cstheme="minorHAnsi"/>
                <w:sz w:val="18"/>
                <w:szCs w:val="18"/>
              </w:rPr>
              <w:t xml:space="preserve">DVD ali drugi elektronski nosilec </w:t>
            </w:r>
            <w:r>
              <w:rPr>
                <w:rFonts w:hint="default" w:eastAsia="Calibri" w:asciiTheme="minorHAnsi" w:hAnsiTheme="minorHAnsi" w:cstheme="minorHAnsi"/>
                <w:sz w:val="18"/>
                <w:szCs w:val="18"/>
                <w:lang w:val="sl-SI"/>
              </w:rPr>
              <w:t>(USB ključek)</w:t>
            </w:r>
          </w:p>
        </w:tc>
        <w:tc>
          <w:tcPr>
            <w:tcW w:w="1383" w:type="dxa"/>
          </w:tcPr>
          <w:p w14:paraId="36F93D35">
            <w:pPr>
              <w:rPr>
                <w:rFonts w:hint="default" w:eastAsia="Calibri" w:asciiTheme="minorHAnsi" w:hAnsiTheme="minorHAnsi" w:cstheme="minorHAnsi"/>
                <w:sz w:val="18"/>
                <w:szCs w:val="18"/>
                <w:lang w:val="sl-SI"/>
              </w:rPr>
            </w:pPr>
            <w:r>
              <w:rPr>
                <w:rFonts w:eastAsia="Calibri" w:asciiTheme="minorHAnsi" w:hAnsiTheme="minorHAnsi" w:cstheme="minorHAnsi"/>
                <w:sz w:val="18"/>
                <w:szCs w:val="18"/>
              </w:rPr>
              <w:t>2</w:t>
            </w:r>
            <w:r>
              <w:rPr>
                <w:rFonts w:hint="default" w:eastAsia="Calibri" w:asciiTheme="minorHAnsi" w:hAnsiTheme="minorHAnsi" w:cstheme="minorHAnsi"/>
                <w:sz w:val="18"/>
                <w:szCs w:val="18"/>
                <w:lang w:val="sl-SI"/>
              </w:rPr>
              <w:t xml:space="preserve"> kopiji</w:t>
            </w:r>
          </w:p>
        </w:tc>
        <w:tc>
          <w:tcPr>
            <w:tcW w:w="2325" w:type="dxa"/>
          </w:tcPr>
          <w:p w14:paraId="7D2B8631">
            <w:pPr>
              <w:numPr>
                <w:ilvl w:val="0"/>
                <w:numId w:val="4"/>
              </w:numPr>
              <w:ind w:left="246" w:hanging="246"/>
              <w:rPr>
                <w:rFonts w:eastAsia="Calibri" w:asciiTheme="minorHAnsi" w:hAnsiTheme="minorHAnsi" w:cstheme="minorHAnsi"/>
                <w:sz w:val="18"/>
                <w:szCs w:val="18"/>
              </w:rPr>
            </w:pPr>
            <w:r>
              <w:rPr>
                <w:rFonts w:eastAsia="Calibri" w:asciiTheme="minorHAnsi" w:hAnsiTheme="minorHAnsi" w:cstheme="minorHAnsi"/>
                <w:sz w:val="18"/>
                <w:szCs w:val="18"/>
              </w:rPr>
              <w:t>s šifro natečajnega elaborata</w:t>
            </w:r>
          </w:p>
        </w:tc>
        <w:tc>
          <w:tcPr>
            <w:tcW w:w="4215" w:type="dxa"/>
          </w:tcPr>
          <w:p w14:paraId="500385EB">
            <w:pPr>
              <w:numPr>
                <w:ilvl w:val="0"/>
                <w:numId w:val="5"/>
              </w:numPr>
              <w:ind w:left="317" w:hanging="284"/>
              <w:rPr>
                <w:rFonts w:eastAsia="Calibri" w:asciiTheme="minorHAnsi" w:hAnsiTheme="minorHAnsi" w:cstheme="minorHAnsi"/>
                <w:sz w:val="18"/>
                <w:szCs w:val="18"/>
              </w:rPr>
            </w:pPr>
            <w:r>
              <w:rPr>
                <w:rFonts w:eastAsia="Calibri" w:asciiTheme="minorHAnsi" w:hAnsiTheme="minorHAnsi" w:cstheme="minorHAnsi"/>
                <w:sz w:val="18"/>
                <w:szCs w:val="18"/>
              </w:rPr>
              <w:t xml:space="preserve">kompletna mapa A3 v .pdf formatu, </w:t>
            </w:r>
          </w:p>
          <w:p w14:paraId="2A6E935E">
            <w:pPr>
              <w:numPr>
                <w:ilvl w:val="0"/>
                <w:numId w:val="5"/>
              </w:numPr>
              <w:ind w:left="317" w:hanging="284"/>
              <w:rPr>
                <w:rFonts w:eastAsia="Calibri" w:asciiTheme="minorHAnsi" w:hAnsiTheme="minorHAnsi" w:cstheme="minorHAnsi"/>
                <w:sz w:val="18"/>
                <w:szCs w:val="18"/>
              </w:rPr>
            </w:pPr>
            <w:r>
              <w:rPr>
                <w:rFonts w:eastAsia="Calibri" w:asciiTheme="minorHAnsi" w:hAnsiTheme="minorHAnsi" w:cstheme="minorHAnsi"/>
                <w:sz w:val="18"/>
                <w:szCs w:val="18"/>
              </w:rPr>
              <w:t>plakati v .pdf formatu, v resoluciji primerni za pregledovanje in objavo na spletu (primerljivo z ADOBE – high quality print)</w:t>
            </w:r>
          </w:p>
          <w:p w14:paraId="69EA292B">
            <w:pPr>
              <w:numPr>
                <w:ilvl w:val="0"/>
                <w:numId w:val="5"/>
              </w:numPr>
              <w:ind w:left="317" w:hanging="284"/>
              <w:rPr>
                <w:rFonts w:eastAsia="Calibri" w:asciiTheme="minorHAnsi" w:hAnsiTheme="minorHAnsi" w:cstheme="minorHAnsi"/>
                <w:sz w:val="18"/>
                <w:szCs w:val="18"/>
              </w:rPr>
            </w:pPr>
            <w:r>
              <w:rPr>
                <w:rFonts w:eastAsia="Calibri" w:asciiTheme="minorHAnsi" w:hAnsiTheme="minorHAnsi" w:cstheme="minorHAnsi"/>
                <w:sz w:val="18"/>
                <w:szCs w:val="18"/>
              </w:rPr>
              <w:t>tloris situacije celote v .pdf/jpg/tiff  formatu primerne za objavo na spletu</w:t>
            </w:r>
          </w:p>
          <w:p w14:paraId="46E40A99">
            <w:pPr>
              <w:numPr>
                <w:ilvl w:val="0"/>
                <w:numId w:val="5"/>
              </w:numPr>
              <w:ind w:left="317" w:hanging="284"/>
              <w:rPr>
                <w:rFonts w:eastAsia="Calibri" w:asciiTheme="minorHAnsi" w:hAnsiTheme="minorHAnsi" w:cstheme="minorHAnsi"/>
                <w:sz w:val="18"/>
                <w:szCs w:val="18"/>
              </w:rPr>
            </w:pPr>
            <w:r>
              <w:rPr>
                <w:rFonts w:eastAsia="Calibri" w:asciiTheme="minorHAnsi" w:hAnsiTheme="minorHAnsi" w:cstheme="minorHAnsi"/>
                <w:sz w:val="18"/>
                <w:szCs w:val="18"/>
              </w:rPr>
              <w:t xml:space="preserve">digitalne risbe: ureditvena situacija, tlorisi, prerezi idr. v *.dwg </w:t>
            </w:r>
            <w:r>
              <w:rPr>
                <w:rFonts w:eastAsia="Calibri" w:asciiTheme="minorHAnsi" w:hAnsiTheme="minorHAnsi" w:cstheme="minorHAnsi"/>
                <w:bCs/>
                <w:sz w:val="18"/>
                <w:szCs w:val="18"/>
              </w:rPr>
              <w:t xml:space="preserve">v verziji autocad 2005 </w:t>
            </w:r>
            <w:r>
              <w:rPr>
                <w:rFonts w:eastAsia="Calibri" w:asciiTheme="minorHAnsi" w:hAnsiTheme="minorHAnsi" w:cstheme="minorHAnsi"/>
                <w:sz w:val="18"/>
                <w:szCs w:val="18"/>
              </w:rPr>
              <w:t>ali *.dxf zbrane v eni oz. čim manjšem številu skupnih datotek</w:t>
            </w:r>
          </w:p>
          <w:p w14:paraId="0354818C">
            <w:pPr>
              <w:rPr>
                <w:rFonts w:eastAsia="Calibri" w:asciiTheme="minorHAnsi" w:hAnsiTheme="minorHAnsi" w:cstheme="minorHAnsi"/>
                <w:i/>
                <w:sz w:val="18"/>
                <w:szCs w:val="18"/>
                <w:highlight w:val="yellow"/>
              </w:rPr>
            </w:pPr>
          </w:p>
        </w:tc>
      </w:tr>
    </w:tbl>
    <w:p w14:paraId="0DC6D7B1">
      <w:pPr>
        <w:pStyle w:val="17"/>
        <w:spacing w:line="276" w:lineRule="auto"/>
        <w:rPr>
          <w:rFonts w:hint="default" w:ascii="Arial Narrow" w:hAnsi="Arial Narrow" w:cs="Arial Narrow"/>
          <w:b/>
          <w:bCs/>
          <w:color w:val="auto"/>
          <w:highlight w:val="none"/>
          <w:lang w:val="sl-SI"/>
        </w:rPr>
      </w:pPr>
    </w:p>
    <w:p w14:paraId="07631EC5">
      <w:pPr>
        <w:pStyle w:val="17"/>
        <w:spacing w:line="276" w:lineRule="auto"/>
        <w:rPr>
          <w:rFonts w:hint="default" w:ascii="Arial Narrow" w:hAnsi="Arial Narrow" w:cs="Arial Narrow"/>
          <w:b/>
          <w:bCs/>
          <w:color w:val="auto"/>
          <w:highlight w:val="none"/>
          <w:lang w:val="sl-SI"/>
        </w:rPr>
      </w:pPr>
    </w:p>
    <w:p w14:paraId="12ED2C30">
      <w:pPr>
        <w:pStyle w:val="17"/>
        <w:spacing w:line="276" w:lineRule="auto"/>
        <w:rPr>
          <w:rFonts w:hint="default" w:ascii="Arial Narrow" w:hAnsi="Arial Narrow" w:cs="Arial Narrow"/>
          <w:b/>
          <w:bCs/>
          <w:color w:val="auto"/>
          <w:highlight w:val="none"/>
          <w:lang w:val="sl-SI"/>
        </w:rPr>
      </w:pPr>
      <w:r>
        <w:rPr>
          <w:rFonts w:hint="default" w:ascii="Arial Narrow" w:hAnsi="Arial Narrow" w:cs="Arial Narrow"/>
          <w:b/>
          <w:bCs/>
          <w:color w:val="auto"/>
          <w:highlight w:val="none"/>
          <w:lang w:val="sl-SI"/>
        </w:rPr>
        <w:t>Prikazi na plakatih, v mapah in na digitalnih nosilcih ne smejo razkrivati avtorstva in morajo ohranjati anonimnost natečajnih udeležencev.</w:t>
      </w:r>
    </w:p>
    <w:p w14:paraId="7FA9C623">
      <w:pPr>
        <w:pStyle w:val="17"/>
        <w:spacing w:line="276" w:lineRule="auto"/>
        <w:rPr>
          <w:rFonts w:hint="default" w:ascii="Arial Narrow" w:hAnsi="Arial Narrow" w:cs="Arial Narrow"/>
          <w:b/>
          <w:bCs/>
          <w:color w:val="auto"/>
          <w:highlight w:val="none"/>
          <w:lang w:val="sl-SI"/>
        </w:rPr>
      </w:pPr>
    </w:p>
    <w:p w14:paraId="66E9607D">
      <w:pPr>
        <w:pStyle w:val="17"/>
        <w:spacing w:line="276" w:lineRule="auto"/>
        <w:rPr>
          <w:rFonts w:hint="default" w:ascii="Arial Narrow" w:hAnsi="Arial Narrow" w:cs="Arial Narrow"/>
          <w:b/>
          <w:bCs/>
          <w:color w:val="auto"/>
          <w:highlight w:val="none"/>
          <w:lang w:val="sl-SI"/>
        </w:rPr>
      </w:pPr>
    </w:p>
    <w:p w14:paraId="72985BC7">
      <w:pPr>
        <w:pStyle w:val="17"/>
        <w:spacing w:line="276" w:lineRule="auto"/>
        <w:rPr>
          <w:rFonts w:hint="default" w:ascii="Arial Narrow" w:hAnsi="Arial Narrow" w:cs="Arial Narrow"/>
          <w:b/>
          <w:bCs/>
          <w:color w:val="auto"/>
          <w:highlight w:val="none"/>
          <w:lang w:val="sl-SI"/>
        </w:rPr>
      </w:pPr>
    </w:p>
    <w:p w14:paraId="4F1E686A">
      <w:pPr>
        <w:rPr>
          <w:rFonts w:hint="default" w:ascii="Arial Narrow" w:hAnsi="Arial Narrow" w:cs="Arial Narrow"/>
          <w:b/>
          <w:bCs/>
          <w:color w:val="auto"/>
          <w:highlight w:val="none"/>
          <w:lang w:val="sl-SI"/>
        </w:rPr>
      </w:pPr>
      <w:r>
        <w:rPr>
          <w:rFonts w:hint="default" w:ascii="Arial Narrow" w:hAnsi="Arial Narrow" w:cs="Arial Narrow"/>
          <w:b/>
          <w:bCs/>
          <w:color w:val="auto"/>
          <w:highlight w:val="none"/>
        </w:rPr>
        <w:t>9_</w:t>
      </w:r>
      <w:r>
        <w:rPr>
          <w:rFonts w:hint="default" w:ascii="Arial Narrow" w:hAnsi="Arial Narrow" w:cs="Arial Narrow"/>
          <w:b/>
          <w:bCs/>
          <w:color w:val="auto"/>
          <w:highlight w:val="none"/>
          <w:lang w:val="sl-SI"/>
        </w:rPr>
        <w:t>Pridobljeni projektni pogoji mnenjedajalcev (priloga)</w:t>
      </w:r>
    </w:p>
    <w:p w14:paraId="165230EF">
      <w:pPr>
        <w:rPr>
          <w:rFonts w:hint="default" w:ascii="Arial Narrow" w:hAnsi="Arial Narrow" w:cs="Arial Narrow"/>
          <w:b/>
          <w:bCs/>
          <w:color w:val="auto"/>
          <w:highlight w:val="none"/>
        </w:rPr>
      </w:pPr>
    </w:p>
    <w:p w14:paraId="0FA7F7F7">
      <w:pPr>
        <w:rPr>
          <w:rFonts w:hint="default" w:ascii="Arial Narrow" w:hAnsi="Arial Narrow" w:cs="Arial Narrow"/>
          <w:b w:val="0"/>
          <w:bCs w:val="0"/>
          <w:color w:val="auto"/>
          <w:highlight w:val="none"/>
          <w:lang w:val="sl-SI"/>
        </w:rPr>
      </w:pPr>
      <w:r>
        <w:rPr>
          <w:rFonts w:hint="default" w:ascii="Arial Narrow" w:hAnsi="Arial Narrow" w:cs="Arial Narrow"/>
          <w:b w:val="0"/>
          <w:bCs w:val="0"/>
          <w:color w:val="auto"/>
          <w:highlight w:val="none"/>
          <w:lang w:val="sl-SI"/>
        </w:rPr>
        <w:t>Lokacijska informacija je v podlogah C</w:t>
      </w:r>
    </w:p>
    <w:p w14:paraId="3661630F">
      <w:pPr>
        <w:rPr>
          <w:rFonts w:hint="default" w:ascii="Arial Narrow" w:hAnsi="Arial Narrow" w:cs="Arial Narrow"/>
          <w:b/>
          <w:bCs/>
          <w:color w:val="auto"/>
          <w:highlight w:val="none"/>
        </w:rPr>
      </w:pPr>
    </w:p>
    <w:p w14:paraId="3FC220A7">
      <w:pPr>
        <w:rPr>
          <w:rFonts w:hint="default" w:ascii="Arial Narrow" w:hAnsi="Arial Narrow" w:cs="Arial Narrow"/>
          <w:b/>
          <w:bCs/>
          <w:color w:val="auto"/>
          <w:highlight w:val="none"/>
        </w:rPr>
      </w:pPr>
    </w:p>
    <w:p w14:paraId="21537D83">
      <w:pPr>
        <w:rPr>
          <w:rFonts w:hint="default" w:ascii="Arial Narrow" w:hAnsi="Arial Narrow" w:cs="Arial Narrow"/>
          <w:b/>
          <w:bCs/>
          <w:color w:val="auto"/>
          <w:highlight w:val="none"/>
        </w:rPr>
      </w:pPr>
    </w:p>
    <w:p w14:paraId="6E30D790">
      <w:pPr>
        <w:rPr>
          <w:rFonts w:hint="default" w:ascii="Arial Narrow" w:hAnsi="Arial Narrow" w:cs="Arial Narrow"/>
          <w:b/>
          <w:bCs/>
          <w:color w:val="auto"/>
          <w:highlight w:val="none"/>
          <w:lang w:val="sl-SI"/>
        </w:rPr>
      </w:pPr>
      <w:r>
        <w:rPr>
          <w:rFonts w:hint="default" w:ascii="Arial Narrow" w:hAnsi="Arial Narrow" w:cs="Arial Narrow"/>
          <w:b/>
          <w:bCs/>
          <w:color w:val="auto"/>
          <w:highlight w:val="none"/>
        </w:rPr>
        <w:t>10_Povezave</w:t>
      </w:r>
      <w:r>
        <w:rPr>
          <w:rFonts w:hint="default" w:ascii="Arial Narrow" w:hAnsi="Arial Narrow" w:cs="Arial Narrow"/>
          <w:b/>
          <w:bCs/>
          <w:color w:val="auto"/>
          <w:highlight w:val="none"/>
          <w:lang w:val="sl-SI"/>
        </w:rPr>
        <w:t xml:space="preserve"> za natečajnike</w:t>
      </w:r>
    </w:p>
    <w:p w14:paraId="746C9CD7">
      <w:pPr>
        <w:rPr>
          <w:rFonts w:hint="default" w:ascii="Arial Narrow" w:hAnsi="Arial Narrow" w:cs="Arial Narrow"/>
          <w:b/>
          <w:bCs/>
          <w:color w:val="auto"/>
          <w:highlight w:val="none"/>
        </w:rPr>
      </w:pPr>
    </w:p>
    <w:p w14:paraId="0C2642B5">
      <w:pPr>
        <w:rPr>
          <w:rFonts w:hint="default" w:ascii="Arial Narrow" w:hAnsi="Arial Narrow" w:cs="Arial Narrow"/>
          <w:b w:val="0"/>
          <w:bCs w:val="0"/>
          <w:color w:val="auto"/>
          <w:highlight w:val="none"/>
          <w:lang w:val="sl-SI"/>
        </w:rPr>
      </w:pPr>
      <w:r>
        <w:rPr>
          <w:rFonts w:hint="default" w:ascii="Arial Narrow" w:hAnsi="Arial Narrow" w:cs="Arial Narrow"/>
          <w:b w:val="0"/>
          <w:bCs w:val="0"/>
          <w:color w:val="auto"/>
          <w:highlight w:val="none"/>
          <w:lang w:val="sl-SI"/>
        </w:rPr>
        <w:t>Povezava do natečajnega gradiva (DAM)</w:t>
      </w:r>
    </w:p>
    <w:p w14:paraId="7B8E6186">
      <w:pPr>
        <w:rPr>
          <w:rFonts w:hint="default" w:ascii="Arial Narrow" w:hAnsi="Arial Narrow"/>
          <w:b w:val="0"/>
          <w:bCs w:val="0"/>
          <w:color w:val="auto"/>
          <w:highlight w:val="none"/>
          <w:lang w:val="sl-SI"/>
        </w:rPr>
      </w:pPr>
      <w:r>
        <w:rPr>
          <w:rFonts w:hint="default" w:ascii="Arial Narrow" w:hAnsi="Arial Narrow"/>
          <w:b w:val="0"/>
          <w:bCs w:val="0"/>
          <w:color w:val="auto"/>
          <w:highlight w:val="none"/>
          <w:lang w:val="sl-SI"/>
        </w:rPr>
        <w:fldChar w:fldCharType="begin"/>
      </w:r>
      <w:r>
        <w:rPr>
          <w:rFonts w:hint="default" w:ascii="Arial Narrow" w:hAnsi="Arial Narrow"/>
          <w:b w:val="0"/>
          <w:bCs w:val="0"/>
          <w:color w:val="auto"/>
          <w:highlight w:val="none"/>
          <w:lang w:val="sl-SI"/>
        </w:rPr>
        <w:instrText xml:space="preserve"> HYPERLINK "https://www.dropbox.com/scl/fo/r92oyixfh75skhgks6woe/AHm2hY2bfmfmrLuspc5hu9o?rlkey=ly2kam7y8iwj79avea1j0pu7u&amp;dl=0" </w:instrText>
      </w:r>
      <w:r>
        <w:rPr>
          <w:rFonts w:hint="default" w:ascii="Arial Narrow" w:hAnsi="Arial Narrow"/>
          <w:b w:val="0"/>
          <w:bCs w:val="0"/>
          <w:color w:val="auto"/>
          <w:highlight w:val="none"/>
          <w:lang w:val="sl-SI"/>
        </w:rPr>
        <w:fldChar w:fldCharType="separate"/>
      </w:r>
      <w:r>
        <w:rPr>
          <w:rStyle w:val="8"/>
          <w:rFonts w:hint="default" w:ascii="Arial Narrow" w:hAnsi="Arial Narrow"/>
          <w:b w:val="0"/>
          <w:bCs w:val="0"/>
          <w:highlight w:val="none"/>
          <w:lang w:val="sl-SI"/>
        </w:rPr>
        <w:t>https://www.dropbox.com/scl/fo/r92oyixfh75skhgks6woe/AHm2hY2bfmfmrLuspc5hu9o?rlkey=ly2kam7y8iwj79avea1j0pu7u&amp;dl=0</w:t>
      </w:r>
      <w:r>
        <w:rPr>
          <w:rFonts w:hint="default" w:ascii="Arial Narrow" w:hAnsi="Arial Narrow"/>
          <w:b w:val="0"/>
          <w:bCs w:val="0"/>
          <w:color w:val="auto"/>
          <w:highlight w:val="none"/>
          <w:lang w:val="sl-SI"/>
        </w:rPr>
        <w:fldChar w:fldCharType="end"/>
      </w:r>
    </w:p>
    <w:p w14:paraId="18A12B1F">
      <w:pPr>
        <w:rPr>
          <w:rFonts w:hint="default" w:ascii="Arial Narrow" w:hAnsi="Arial Narrow" w:cs="Arial Narrow"/>
          <w:b/>
          <w:bCs/>
          <w:color w:val="auto"/>
          <w:highlight w:val="none"/>
        </w:rPr>
      </w:pPr>
    </w:p>
    <w:p w14:paraId="32E5EADA">
      <w:pPr>
        <w:rPr>
          <w:rFonts w:hint="default" w:ascii="Arial Narrow" w:hAnsi="Arial Narrow" w:cs="Arial Narrow"/>
          <w:b/>
          <w:bCs/>
          <w:color w:val="auto"/>
          <w:highlight w:val="none"/>
        </w:rPr>
      </w:pPr>
    </w:p>
    <w:p w14:paraId="67480D58">
      <w:pPr>
        <w:rPr>
          <w:rFonts w:hint="default" w:ascii="Arial Narrow" w:hAnsi="Arial Narrow" w:cs="Arial Narrow"/>
          <w:b/>
          <w:bCs/>
          <w:color w:val="auto"/>
          <w:highlight w:val="none"/>
        </w:rPr>
      </w:pPr>
    </w:p>
    <w:p w14:paraId="4DBDA65F">
      <w:pPr>
        <w:rPr>
          <w:rFonts w:hint="default" w:ascii="Arial Narrow" w:hAnsi="Arial Narrow" w:cs="Arial Narrow"/>
          <w:b/>
          <w:bCs/>
          <w:color w:val="auto"/>
          <w:highlight w:val="none"/>
        </w:rPr>
      </w:pPr>
      <w:r>
        <w:rPr>
          <w:rFonts w:hint="default" w:ascii="Arial Narrow" w:hAnsi="Arial Narrow" w:cs="Arial Narrow"/>
          <w:b/>
          <w:bCs/>
          <w:color w:val="auto"/>
          <w:highlight w:val="none"/>
        </w:rPr>
        <w:t>11_Seznam C_natečajnih_podlog in D_natečajnih_prilog</w:t>
      </w:r>
    </w:p>
    <w:p w14:paraId="71FD5167">
      <w:pPr>
        <w:pStyle w:val="17"/>
        <w:spacing w:line="276" w:lineRule="auto"/>
        <w:rPr>
          <w:rFonts w:hint="default" w:ascii="Arial Narrow" w:hAnsi="Arial Narrow" w:cs="Arial Narrow"/>
          <w:color w:val="auto"/>
          <w:highlight w:val="none"/>
          <w:lang w:val="sl-SI"/>
        </w:rPr>
      </w:pPr>
    </w:p>
    <w:p w14:paraId="4D32047A">
      <w:pPr>
        <w:pStyle w:val="17"/>
        <w:spacing w:line="276" w:lineRule="auto"/>
        <w:rPr>
          <w:rFonts w:hint="default" w:ascii="Arial Narrow" w:hAnsi="Arial Narrow" w:cs="Arial Narrow"/>
          <w:b/>
          <w:bCs/>
          <w:color w:val="auto"/>
          <w:highlight w:val="none"/>
          <w:lang w:val="sl-SI"/>
        </w:rPr>
      </w:pPr>
      <w:r>
        <w:rPr>
          <w:rFonts w:hint="default" w:ascii="Arial Narrow" w:hAnsi="Arial Narrow" w:cs="Arial Narrow"/>
          <w:b/>
          <w:bCs/>
          <w:color w:val="auto"/>
          <w:highlight w:val="none"/>
          <w:lang w:val="sl-SI"/>
        </w:rPr>
        <w:t>C_natečajne podloge</w:t>
      </w:r>
    </w:p>
    <w:p w14:paraId="1D237FFD">
      <w:pPr>
        <w:pStyle w:val="17"/>
        <w:spacing w:line="276" w:lineRule="auto"/>
        <w:rPr>
          <w:rFonts w:hint="default" w:ascii="Arial Narrow" w:hAnsi="Arial Narrow" w:cs="Arial Narrow"/>
          <w:color w:val="auto"/>
          <w:highlight w:val="none"/>
          <w:lang w:val="sl-SI"/>
        </w:rPr>
      </w:pPr>
    </w:p>
    <w:p w14:paraId="1FC47BAC">
      <w:pPr>
        <w:pStyle w:val="17"/>
        <w:spacing w:line="276" w:lineRule="auto"/>
        <w:rPr>
          <w:rFonts w:hint="default" w:ascii="Arial Narrow" w:hAnsi="Arial Narrow" w:cs="Arial Narrow"/>
          <w:color w:val="auto"/>
          <w:highlight w:val="none"/>
          <w:lang w:val="sl-SI"/>
        </w:rPr>
      </w:pPr>
      <w:r>
        <w:rPr>
          <w:rFonts w:hint="default" w:ascii="Arial Narrow" w:hAnsi="Arial Narrow" w:cs="Arial Narrow"/>
          <w:color w:val="auto"/>
          <w:highlight w:val="none"/>
          <w:lang w:val="sl-SI"/>
        </w:rPr>
        <w:t>C1 Geodetski posnetek obstoječega stanja zemljišča za gradnjo</w:t>
      </w:r>
    </w:p>
    <w:p w14:paraId="0409883A">
      <w:pPr>
        <w:pStyle w:val="17"/>
        <w:spacing w:line="276" w:lineRule="auto"/>
        <w:rPr>
          <w:rFonts w:hint="default" w:ascii="Arial Narrow" w:hAnsi="Arial Narrow" w:cs="Arial Narrow"/>
          <w:color w:val="auto"/>
          <w:highlight w:val="none"/>
          <w:lang w:val="sl-SI"/>
        </w:rPr>
      </w:pPr>
      <w:r>
        <w:rPr>
          <w:rFonts w:hint="default" w:ascii="Arial Narrow" w:hAnsi="Arial Narrow" w:cs="Arial Narrow"/>
          <w:color w:val="auto"/>
          <w:highlight w:val="none"/>
          <w:lang w:val="sl-SI"/>
        </w:rPr>
        <w:t>C2 Lokacijska informacija Občine Ormož</w:t>
      </w:r>
    </w:p>
    <w:p w14:paraId="345F9EDB">
      <w:pPr>
        <w:pStyle w:val="17"/>
        <w:spacing w:line="276" w:lineRule="auto"/>
        <w:rPr>
          <w:rFonts w:hint="default" w:ascii="Arial Narrow" w:hAnsi="Arial Narrow" w:cs="Arial Narrow"/>
          <w:color w:val="auto"/>
          <w:highlight w:val="none"/>
          <w:lang w:val="sl-SI"/>
        </w:rPr>
      </w:pPr>
      <w:r>
        <w:rPr>
          <w:rFonts w:hint="default" w:ascii="Arial Narrow" w:hAnsi="Arial Narrow" w:cs="Arial Narrow"/>
          <w:color w:val="auto"/>
          <w:highlight w:val="none"/>
          <w:lang w:val="sl-SI"/>
        </w:rPr>
        <w:t>C3 Načrt arhitekture obstoječega objekta športne dvorane</w:t>
      </w:r>
    </w:p>
    <w:p w14:paraId="7C1E91B5">
      <w:pPr>
        <w:pStyle w:val="17"/>
        <w:spacing w:line="276" w:lineRule="auto"/>
        <w:rPr>
          <w:rFonts w:hint="default" w:ascii="Arial Narrow" w:hAnsi="Arial Narrow" w:cs="Arial Narrow"/>
          <w:color w:val="auto"/>
          <w:highlight w:val="none"/>
          <w:lang w:val="sl-SI"/>
        </w:rPr>
      </w:pPr>
      <w:r>
        <w:rPr>
          <w:rFonts w:hint="default" w:ascii="Arial Narrow" w:hAnsi="Arial Narrow" w:cs="Arial Narrow"/>
          <w:color w:val="auto"/>
          <w:highlight w:val="none"/>
          <w:lang w:val="sl-SI"/>
        </w:rPr>
        <w:t>C4 Fotografije obveznih očišč (bodo podane po ogledu terena)</w:t>
      </w:r>
    </w:p>
    <w:p w14:paraId="0D41D211">
      <w:pPr>
        <w:pStyle w:val="17"/>
        <w:spacing w:line="276" w:lineRule="auto"/>
        <w:rPr>
          <w:rFonts w:hint="default" w:ascii="Arial Narrow" w:hAnsi="Arial Narrow" w:cs="Arial Narrow"/>
          <w:color w:val="auto"/>
          <w:highlight w:val="none"/>
          <w:lang w:val="sl-SI"/>
        </w:rPr>
      </w:pPr>
      <w:r>
        <w:rPr>
          <w:rFonts w:hint="default" w:ascii="Arial Narrow" w:hAnsi="Arial Narrow" w:cs="Arial Narrow"/>
          <w:color w:val="auto"/>
          <w:highlight w:val="none"/>
          <w:lang w:val="sl-SI"/>
        </w:rPr>
        <w:t>C5 Tabela zahtevanih prostorov, v kateri natečajnik dokaže izpolnjevanje zahtev</w:t>
      </w:r>
    </w:p>
    <w:p w14:paraId="2B04AC93">
      <w:pPr>
        <w:pStyle w:val="17"/>
        <w:spacing w:line="276" w:lineRule="auto"/>
        <w:rPr>
          <w:rFonts w:hint="default" w:ascii="Arial Narrow" w:hAnsi="Arial Narrow" w:cs="Arial Narrow"/>
          <w:color w:val="auto"/>
          <w:highlight w:val="none"/>
          <w:lang w:val="sl-SI"/>
        </w:rPr>
      </w:pPr>
    </w:p>
    <w:p w14:paraId="14AC68F6">
      <w:pPr>
        <w:pStyle w:val="17"/>
        <w:spacing w:line="276" w:lineRule="auto"/>
        <w:rPr>
          <w:rFonts w:hint="default" w:ascii="Arial Narrow" w:hAnsi="Arial Narrow" w:cs="Arial Narrow"/>
          <w:color w:val="auto"/>
          <w:highlight w:val="none"/>
          <w:lang w:val="sl-SI"/>
        </w:rPr>
      </w:pPr>
    </w:p>
    <w:p w14:paraId="0335999C">
      <w:pPr>
        <w:pStyle w:val="17"/>
        <w:spacing w:line="276" w:lineRule="auto"/>
        <w:rPr>
          <w:rFonts w:hint="default" w:ascii="Arial Narrow" w:hAnsi="Arial Narrow" w:cs="Arial Narrow"/>
          <w:b/>
          <w:bCs/>
          <w:color w:val="auto"/>
          <w:highlight w:val="none"/>
          <w:lang w:val="sl-SI"/>
        </w:rPr>
      </w:pPr>
      <w:r>
        <w:rPr>
          <w:rFonts w:hint="default" w:ascii="Arial Narrow" w:hAnsi="Arial Narrow" w:cs="Arial Narrow"/>
          <w:b/>
          <w:bCs/>
          <w:color w:val="auto"/>
          <w:highlight w:val="none"/>
          <w:lang w:val="sl-SI"/>
        </w:rPr>
        <w:t>D_natečajne priloge</w:t>
      </w:r>
    </w:p>
    <w:p w14:paraId="540275B5">
      <w:pPr>
        <w:pStyle w:val="17"/>
        <w:spacing w:line="276" w:lineRule="auto"/>
        <w:rPr>
          <w:rFonts w:hint="default" w:ascii="Arial Narrow" w:hAnsi="Arial Narrow" w:cs="Arial Narrow"/>
          <w:color w:val="auto"/>
          <w:highlight w:val="none"/>
          <w:lang w:val="sl-SI"/>
        </w:rPr>
      </w:pPr>
    </w:p>
    <w:p w14:paraId="0CE3AA03">
      <w:pPr>
        <w:pStyle w:val="17"/>
        <w:spacing w:line="276" w:lineRule="auto"/>
        <w:rPr>
          <w:rFonts w:hint="default" w:ascii="Arial Narrow" w:hAnsi="Arial Narrow" w:cs="Arial Narrow"/>
          <w:color w:val="auto"/>
          <w:highlight w:val="none"/>
          <w:lang w:val="sl-SI"/>
        </w:rPr>
      </w:pPr>
      <w:r>
        <w:rPr>
          <w:rFonts w:hint="default" w:ascii="Arial Narrow" w:hAnsi="Arial Narrow" w:cs="Arial Narrow"/>
          <w:color w:val="auto"/>
          <w:highlight w:val="none"/>
          <w:lang w:val="sl-SI"/>
        </w:rPr>
        <w:t>D1 DIIP za investicijo</w:t>
      </w:r>
    </w:p>
    <w:p w14:paraId="44858209">
      <w:pPr>
        <w:pStyle w:val="17"/>
        <w:spacing w:line="276" w:lineRule="auto"/>
        <w:rPr>
          <w:rFonts w:hint="default" w:ascii="Arial Narrow" w:hAnsi="Arial Narrow" w:cs="Arial Narrow"/>
          <w:color w:val="auto"/>
          <w:highlight w:val="none"/>
          <w:lang w:val="sl-SI"/>
        </w:rPr>
      </w:pPr>
      <w:r>
        <w:rPr>
          <w:rFonts w:hint="default" w:ascii="Arial Narrow" w:hAnsi="Arial Narrow" w:cs="Arial Narrow"/>
          <w:color w:val="auto"/>
          <w:highlight w:val="none"/>
          <w:lang w:val="sl-SI"/>
        </w:rPr>
        <w:t>D2 Geotehnično mnenje</w:t>
      </w:r>
    </w:p>
    <w:p w14:paraId="527D364E">
      <w:pPr>
        <w:pStyle w:val="17"/>
        <w:spacing w:line="276" w:lineRule="auto"/>
        <w:rPr>
          <w:rFonts w:hint="default" w:ascii="Arial Narrow" w:hAnsi="Arial Narrow" w:cs="Arial Narrow"/>
          <w:color w:val="auto"/>
          <w:highlight w:val="none"/>
          <w:lang w:val="sl-SI"/>
        </w:rPr>
      </w:pPr>
      <w:r>
        <w:rPr>
          <w:rFonts w:hint="default" w:ascii="Arial Narrow" w:hAnsi="Arial Narrow" w:cs="Arial Narrow"/>
          <w:color w:val="auto"/>
          <w:highlight w:val="none"/>
          <w:lang w:val="sl-SI"/>
        </w:rPr>
        <w:t>D3 Preveritveni projekt (na drugi parceli, južno od natečajnega območja)</w:t>
      </w:r>
    </w:p>
    <w:p w14:paraId="7C66A70A">
      <w:pPr>
        <w:pStyle w:val="17"/>
        <w:spacing w:line="276" w:lineRule="auto"/>
        <w:rPr>
          <w:rFonts w:hint="default" w:ascii="Arial Narrow" w:hAnsi="Arial Narrow" w:cs="Arial Narrow"/>
          <w:color w:val="auto"/>
          <w:highlight w:val="none"/>
          <w:lang w:val="sl-SI"/>
        </w:rPr>
      </w:pPr>
      <w:r>
        <w:rPr>
          <w:rFonts w:hint="default" w:ascii="Arial Narrow" w:hAnsi="Arial Narrow" w:cs="Arial Narrow"/>
          <w:color w:val="auto"/>
          <w:highlight w:val="none"/>
          <w:lang w:val="sl-SI"/>
        </w:rPr>
        <w:t>D4 Navodila za graditev šolskih objektov v RS</w:t>
      </w:r>
    </w:p>
    <w:p w14:paraId="7C1AD55E">
      <w:pPr>
        <w:pStyle w:val="17"/>
        <w:spacing w:line="276" w:lineRule="auto"/>
        <w:rPr>
          <w:rFonts w:hint="default" w:ascii="Arial Narrow" w:hAnsi="Arial Narrow" w:cs="Arial Narrow"/>
          <w:color w:val="auto"/>
          <w:highlight w:val="none"/>
          <w:lang w:val="sl-SI"/>
        </w:rPr>
      </w:pPr>
    </w:p>
    <w:sectPr>
      <w:headerReference r:id="rId6" w:type="default"/>
      <w:pgSz w:w="11906" w:h="16838"/>
      <w:pgMar w:top="1418" w:right="1021" w:bottom="1021" w:left="1418" w:header="709" w:footer="709"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Calibri">
    <w:panose1 w:val="020F0502020204030204"/>
    <w:charset w:val="00"/>
    <w:family w:val="swiss"/>
    <w:pitch w:val="default"/>
    <w:sig w:usb0="E4002EFF" w:usb1="C000247B" w:usb2="00000009" w:usb3="00000000" w:csb0="200001FF" w:csb1="00000000"/>
  </w:font>
  <w:font w:name="等线">
    <w:altName w:val="Microsoft YaHei"/>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egoe UI">
    <w:panose1 w:val="020B0502040204020203"/>
    <w:charset w:val="EE"/>
    <w:family w:val="swiss"/>
    <w:pitch w:val="default"/>
    <w:sig w:usb0="E4002EFF" w:usb1="C000E47F" w:usb2="00000009" w:usb3="00000000" w:csb0="200001FF" w:csb1="00000000"/>
  </w:font>
  <w:font w:name="Helvetica Neue">
    <w:panose1 w:val="02000503000000020004"/>
    <w:charset w:val="00"/>
    <w:family w:val="auto"/>
    <w:pitch w:val="default"/>
    <w:sig w:usb0="80000067" w:usb1="00000000" w:usb2="00000000" w:usb3="00000000" w:csb0="00000000" w:csb1="00000000"/>
  </w:font>
  <w:font w:name="Arial Unicode MS">
    <w:altName w:val="Arial"/>
    <w:panose1 w:val="020B0604020202020204"/>
    <w:charset w:val="80"/>
    <w:family w:val="swiss"/>
    <w:pitch w:val="default"/>
    <w:sig w:usb0="00000000" w:usb1="00000000" w:usb2="0000003F" w:usb3="00000000" w:csb0="603F01FF" w:csb1="FFFF0000"/>
  </w:font>
  <w:font w:name="Arial Narrow">
    <w:panose1 w:val="020B0606020202030204"/>
    <w:charset w:val="EE"/>
    <w:family w:val="swiss"/>
    <w:pitch w:val="default"/>
    <w:sig w:usb0="00000287" w:usb1="00000800" w:usb2="00000000" w:usb3="00000000" w:csb0="2000009F" w:csb1="DFD70000"/>
  </w:font>
  <w:font w:name="Helvetica">
    <w:altName w:val="Arial"/>
    <w:panose1 w:val="00000000000000000000"/>
    <w:charset w:val="00"/>
    <w:family w:val="auto"/>
    <w:pitch w:val="default"/>
    <w:sig w:usb0="00000000" w:usb1="00000000" w:usb2="00000000" w:usb3="00000000" w:csb0="0000019F" w:csb1="00000000"/>
  </w:font>
  <w:font w:name="Symbol">
    <w:panose1 w:val="05050102010706020507"/>
    <w:charset w:val="02"/>
    <w:family w:val="decorative"/>
    <w:pitch w:val="default"/>
    <w:sig w:usb0="00000000" w:usb1="00000000" w:usb2="00000000" w:usb3="00000000" w:csb0="80000000" w:csb1="00000000"/>
  </w:font>
  <w:font w:name="Microsoft YaHe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49E4B7">
    <w:pPr>
      <w:pStyle w:val="12"/>
      <w:ind w:right="-8830" w:rightChars="-3679"/>
      <w:rPr>
        <w:rFonts w:ascii="Arial Narrow" w:hAnsi="Arial Narrow" w:cs="Arial Narrow"/>
      </w:rPr>
    </w:pPr>
    <w:r>
      <w:rPr>
        <w:lang w:eastAsia="sl-SI"/>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27635" cy="131445"/>
              <wp:effectExtent l="0" t="0" r="0" b="0"/>
              <wp:wrapNone/>
              <wp:docPr id="4" name="Text Box 4"/>
              <wp:cNvGraphicFramePr/>
              <a:graphic xmlns:a="http://schemas.openxmlformats.org/drawingml/2006/main">
                <a:graphicData uri="http://schemas.microsoft.com/office/word/2010/wordprocessingShape">
                  <wps:wsp>
                    <wps:cNvSpPr txBox="1">
                      <a:spLocks noChangeArrowheads="1"/>
                    </wps:cNvSpPr>
                    <wps:spPr bwMode="auto">
                      <a:xfrm>
                        <a:off x="0" y="0"/>
                        <a:ext cx="127635" cy="131445"/>
                      </a:xfrm>
                      <a:prstGeom prst="rect">
                        <a:avLst/>
                      </a:prstGeom>
                      <a:noFill/>
                      <a:ln>
                        <a:noFill/>
                      </a:ln>
                      <a:effectLst/>
                    </wps:spPr>
                    <wps:txbx>
                      <w:txbxContent>
                        <w:p w14:paraId="457E8D0D">
                          <w:pPr>
                            <w:pStyle w:val="12"/>
                          </w:pPr>
                          <w:r>
                            <w:fldChar w:fldCharType="begin"/>
                          </w:r>
                          <w:r>
                            <w:instrText xml:space="preserve"> PAGE  \* MERGEFORMAT </w:instrText>
                          </w:r>
                          <w:r>
                            <w:fldChar w:fldCharType="separate"/>
                          </w:r>
                          <w:r>
                            <w:t>3</w:t>
                          </w:r>
                          <w:r>
                            <w:fldChar w:fldCharType="end"/>
                          </w:r>
                        </w:p>
                      </w:txbxContent>
                    </wps:txbx>
                    <wps:bodyPr rot="0" vert="horz" wrap="none" lIns="0" tIns="0" rIns="0" bIns="0" anchor="t" anchorCtr="0" upright="1">
                      <a:spAutoFit/>
                    </wps:bodyPr>
                  </wps:wsp>
                </a:graphicData>
              </a:graphic>
            </wp:anchor>
          </w:drawing>
        </mc:Choice>
        <mc:Fallback>
          <w:pict>
            <v:shape id="Text Box 4" o:spid="_x0000_s1026" o:spt="202" type="#_x0000_t202" style="position:absolute;left:0pt;margin-top:0pt;height:10.35pt;width:10.05pt;mso-position-horizontal:right;mso-position-horizontal-relative:margin;mso-wrap-style:none;z-index:251660288;mso-width-relative:page;mso-height-relative:page;" filled="f" stroked="f" coordsize="21600,21600" o:gfxdata="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dm2eHPAAAAAwEAAA8AAAAAAAAAAQAgAAAAIgAAAGRycy9kb3ducmV2LnhtbFBL&#10;AQIUABQAAAAIAIdO4kBwUJ01/wEAAA8EAAAOAAAAAAAAAAEAIAAAAB4BAABkcnMvZTJvRG9jLnht&#10;bFBLBQYAAAAABgAGAFkBAACPBQAAAAA=&#10;">
              <v:fill on="f" focussize="0,0"/>
              <v:stroke on="f"/>
              <v:imagedata o:title=""/>
              <o:lock v:ext="edit" aspectratio="f"/>
              <v:textbox inset="0mm,0mm,0mm,0mm" style="mso-fit-shape-to-text:t;">
                <w:txbxContent>
                  <w:p w14:paraId="457E8D0D">
                    <w:pPr>
                      <w:pStyle w:val="12"/>
                    </w:pPr>
                    <w:r>
                      <w:fldChar w:fldCharType="begin"/>
                    </w:r>
                    <w:r>
                      <w:instrText xml:space="preserve"> PAGE  \* MERGEFORMAT </w:instrText>
                    </w:r>
                    <w:r>
                      <w:fldChar w:fldCharType="separate"/>
                    </w:r>
                    <w:r>
                      <w:t>3</w:t>
                    </w:r>
                    <w:r>
                      <w:fldChar w:fldCharType="end"/>
                    </w:r>
                  </w:p>
                </w:txbxContent>
              </v:textbox>
            </v:shape>
          </w:pict>
        </mc:Fallback>
      </mc:AlternateContent>
    </w:r>
    <w:r>
      <w:rPr>
        <w:rFonts w:ascii="Arial Narrow" w:hAnsi="Arial Narrow" w:cs="Arial Narrow"/>
      </w:rPr>
      <w:t xml:space="preserve"> </w:t>
    </w:r>
  </w:p>
  <w:p w14:paraId="4C0FA73D">
    <w:pPr>
      <w:pStyle w:val="12"/>
      <w:ind w:right="-8830" w:rightChars="-3679"/>
      <w:rPr>
        <w:rFonts w:ascii="Arial Narrow" w:hAnsi="Arial Narrow" w:cs="Arial Narrow"/>
      </w:rPr>
    </w:pPr>
  </w:p>
  <w:p w14:paraId="0A824D4E">
    <w:pPr>
      <w:tabs>
        <w:tab w:val="left" w:pos="709"/>
      </w:tabs>
      <w:rPr>
        <w:rFonts w:hint="default" w:ascii="Arial Narrow" w:hAnsi="Arial Narrow" w:cs="Arial Narrow"/>
        <w:b/>
        <w:caps/>
        <w:color w:val="808080" w:themeColor="text1" w:themeTint="80"/>
        <w:sz w:val="18"/>
        <w:szCs w:val="18"/>
        <w:lang w:val="sl-SI" w:eastAsia="en-US"/>
        <w14:textFill>
          <w14:solidFill>
            <w14:schemeClr w14:val="tx1">
              <w14:lumMod w14:val="50000"/>
              <w14:lumOff w14:val="50000"/>
            </w14:schemeClr>
          </w14:solidFill>
        </w14:textFill>
      </w:rPr>
    </w:pPr>
    <w:r>
      <w:rPr>
        <w:rFonts w:hint="default" w:ascii="Arial Narrow" w:hAnsi="Arial Narrow" w:cs="Arial Narrow"/>
        <w:i/>
        <w:color w:val="808080" w:themeColor="text1" w:themeTint="80"/>
        <w:sz w:val="18"/>
        <w:szCs w:val="18"/>
        <w14:textFill>
          <w14:solidFill>
            <w14:schemeClr w14:val="tx1">
              <w14:lumMod w14:val="50000"/>
              <w14:lumOff w14:val="50000"/>
            </w14:schemeClr>
          </w14:solidFill>
        </w14:textFill>
      </w:rPr>
      <w:t>Natečajn</w:t>
    </w:r>
    <w:r>
      <w:rPr>
        <w:rFonts w:hint="default" w:ascii="Arial Narrow" w:hAnsi="Arial Narrow" w:cs="Arial Narrow"/>
        <w:i/>
        <w:color w:val="808080" w:themeColor="text1" w:themeTint="80"/>
        <w:sz w:val="18"/>
        <w:szCs w:val="18"/>
        <w:lang w:val="sl-SI"/>
        <w14:textFill>
          <w14:solidFill>
            <w14:schemeClr w14:val="tx1">
              <w14:lumMod w14:val="50000"/>
              <w14:lumOff w14:val="50000"/>
            </w14:schemeClr>
          </w14:solidFill>
        </w14:textFill>
      </w:rPr>
      <w:t>a naloga</w:t>
    </w:r>
    <w:r>
      <w:rPr>
        <w:rFonts w:hint="default" w:ascii="Arial Narrow" w:hAnsi="Arial Narrow" w:cs="Arial Narrow"/>
        <w:i/>
        <w:color w:val="808080" w:themeColor="text1" w:themeTint="80"/>
        <w:sz w:val="18"/>
        <w:szCs w:val="18"/>
        <w14:textFill>
          <w14:solidFill>
            <w14:schemeClr w14:val="tx1">
              <w14:lumMod w14:val="50000"/>
              <w14:lumOff w14:val="50000"/>
            </w14:schemeClr>
          </w14:solidFill>
        </w14:textFill>
      </w:rPr>
      <w:t xml:space="preserve"> – </w:t>
    </w:r>
    <w:r>
      <w:rPr>
        <w:rFonts w:hint="default" w:ascii="Arial Narrow" w:hAnsi="Arial Narrow" w:cs="Arial Narrow"/>
        <w:i/>
        <w:color w:val="808080" w:themeColor="text1" w:themeTint="80"/>
        <w:sz w:val="18"/>
        <w:szCs w:val="18"/>
        <w:lang w:val="sl-SI"/>
        <w14:textFill>
          <w14:solidFill>
            <w14:schemeClr w14:val="tx1">
              <w14:lumMod w14:val="50000"/>
              <w14:lumOff w14:val="50000"/>
            </w14:schemeClr>
          </w14:solidFill>
        </w14:textFill>
      </w:rPr>
      <w:t>arhitekturna rešitev objekta “Novogradnja Osnovne šole Velika Nedelja v občini Ormož”</w:t>
    </w:r>
  </w:p>
  <w:p w14:paraId="5DF5F0C3">
    <w:pPr>
      <w:pStyle w:val="12"/>
      <w:ind w:right="-8830" w:rightChars="-3679"/>
      <w:rPr>
        <w:rFonts w:ascii="Arial Narrow" w:hAnsi="Arial Narrow" w:cs="Arial Narrow"/>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33268D">
    <w:pPr>
      <w:pStyle w:val="12"/>
      <w:ind w:right="-6024" w:rightChars="-2510"/>
      <w:rPr>
        <w:rFonts w:ascii="Arial Narrow" w:hAnsi="Arial Narrow" w:cs="Arial Narrow"/>
      </w:rPr>
    </w:pPr>
  </w:p>
  <w:p w14:paraId="7478F941">
    <w:pPr>
      <w:pStyle w:val="12"/>
      <w:ind w:right="-6024" w:rightChars="-2510"/>
      <w:rPr>
        <w:rFonts w:ascii="Arial Narrow" w:hAnsi="Arial Narrow" w:cs="Arial Narrow"/>
      </w:rPr>
    </w:pPr>
  </w:p>
  <w:p w14:paraId="236F2DE6">
    <w:pPr>
      <w:pStyle w:val="12"/>
      <w:ind w:right="-6024" w:rightChars="-2510"/>
      <w:rPr>
        <w:rFonts w:hint="default" w:ascii="Arial Narrow" w:hAnsi="Arial Narrow" w:cs="Arial Narrow"/>
        <w:lang w:val="sl-SI"/>
      </w:rPr>
    </w:pPr>
    <w:r>
      <w:rPr>
        <w:rFonts w:hint="default" w:ascii="Arial Narrow" w:hAnsi="Arial Narrow" w:cs="Arial Narrow"/>
        <w:i/>
        <w:iCs/>
        <w:lang w:val="sl-SI"/>
      </w:rPr>
      <w:t>Občina Ormož in Društvo arhitektov Maribor, december 2024</w:t>
    </w:r>
  </w:p>
  <w:p w14:paraId="31BD44A6">
    <w:pPr>
      <w:pStyle w:val="1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E6251">
    <w:pPr>
      <w:pStyle w:val="12"/>
      <w:ind w:right="-6024" w:rightChars="-2510"/>
    </w:pPr>
  </w:p>
  <w:p w14:paraId="62D6786C">
    <w:pPr>
      <w:pStyle w:val="12"/>
      <w:ind w:right="-6024" w:rightChars="-2510"/>
      <w:rPr>
        <w:rFonts w:ascii="Arial Narrow" w:hAnsi="Arial Narrow" w:cs="Arial Narrow"/>
      </w:rPr>
    </w:pPr>
  </w:p>
  <w:p w14:paraId="1F22097E">
    <w:pPr>
      <w:pStyle w:val="12"/>
      <w:ind w:right="-6024" w:rightChars="-2510"/>
      <w:rPr>
        <w:rFonts w:hint="default" w:ascii="Arial Narrow" w:hAnsi="Arial Narrow" w:cs="Arial Narrow"/>
        <w:lang w:val="sl-SI"/>
      </w:rPr>
    </w:pPr>
    <w:r>
      <w:rPr>
        <w:rFonts w:hint="default" w:ascii="Arial Narrow" w:hAnsi="Arial Narrow" w:cs="Arial Narrow"/>
        <w:i/>
        <w:iCs/>
        <w:lang w:val="sl-SI"/>
      </w:rPr>
      <w:t>Občina Ormož in Društvo arhitektov Maribor, december 2024</w:t>
    </w:r>
  </w:p>
  <w:p w14:paraId="1BF54964">
    <w:pPr>
      <w:pStyle w:val="18"/>
      <w:framePr w:wrap="auto" w:vAnchor="margin" w:hAnchor="text" w:yAlign="inlin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8F01B6">
    <w:pPr>
      <w:pStyle w:val="12"/>
      <w:ind w:right="-6024" w:rightChars="-2510"/>
    </w:pPr>
  </w:p>
  <w:p w14:paraId="31A47619">
    <w:pPr>
      <w:pStyle w:val="12"/>
      <w:ind w:right="-6024" w:rightChars="-2510"/>
      <w:rPr>
        <w:rFonts w:ascii="Arial Narrow" w:hAnsi="Arial Narrow" w:cs="Arial Narrow"/>
      </w:rPr>
    </w:pPr>
  </w:p>
  <w:p w14:paraId="1C6D6C1B">
    <w:pPr>
      <w:pStyle w:val="12"/>
      <w:ind w:right="-6024" w:rightChars="-2510"/>
      <w:rPr>
        <w:rFonts w:hint="default" w:ascii="Arial Narrow" w:hAnsi="Arial Narrow" w:cs="Arial Narrow"/>
        <w:lang w:val="sl-SI"/>
      </w:rPr>
    </w:pPr>
    <w:r>
      <w:rPr>
        <w:rFonts w:hint="default" w:ascii="Arial Narrow" w:hAnsi="Arial Narrow" w:cs="Arial Narrow"/>
        <w:i/>
        <w:iCs/>
        <w:lang w:val="sl-SI"/>
      </w:rPr>
      <w:t>Občina Ormož in Društvo arhitektov Maribor, december 2024</w:t>
    </w:r>
  </w:p>
  <w:p w14:paraId="797C84DB">
    <w:pPr>
      <w:pStyle w:val="18"/>
      <w:framePr w:wrap="auto" w:vAnchor="margin" w:hAnchor="text" w:yAlign="inli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650CD4"/>
    <w:multiLevelType w:val="multilevel"/>
    <w:tmpl w:val="18650CD4"/>
    <w:lvl w:ilvl="0" w:tentative="0">
      <w:start w:val="1"/>
      <w:numFmt w:val="bullet"/>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
    <w:nsid w:val="2BF46F30"/>
    <w:multiLevelType w:val="multilevel"/>
    <w:tmpl w:val="2BF46F3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37335BB2"/>
    <w:multiLevelType w:val="multilevel"/>
    <w:tmpl w:val="37335BB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43851506"/>
    <w:multiLevelType w:val="multilevel"/>
    <w:tmpl w:val="4385150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576929F3"/>
    <w:multiLevelType w:val="multilevel"/>
    <w:tmpl w:val="576929F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4"/>
  </w:num>
  <w:num w:numId="3">
    <w:abstractNumId w:val="2"/>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10"/>
  <w:bordersDoNotSurroundHeader w:val="0"/>
  <w:bordersDoNotSurroundFooter w:val="0"/>
  <w:documentProtection w:enforcement="0"/>
  <w:defaultTabStop w:val="708"/>
  <w:hyphenationZone w:val="425"/>
  <w:displayHorizontalDrawingGridEvery w:val="1"/>
  <w:displayVerticalDrawingGridEvery w:val="1"/>
  <w:noPunctuationKerning w:val="1"/>
  <w:characterSpacingControl w:val="doNotCompress"/>
  <w:compat>
    <w:doNotExpandShiftReturn/>
    <w:doNotWrapTextWithPunct/>
    <w:doNotUseEastAsianBreakRules/>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511"/>
    <w:rsid w:val="000C3FA4"/>
    <w:rsid w:val="000C7B8F"/>
    <w:rsid w:val="000D4771"/>
    <w:rsid w:val="00132D71"/>
    <w:rsid w:val="001605FE"/>
    <w:rsid w:val="00196F54"/>
    <w:rsid w:val="001D10D9"/>
    <w:rsid w:val="001E703A"/>
    <w:rsid w:val="00211C88"/>
    <w:rsid w:val="00284DA1"/>
    <w:rsid w:val="00285FBC"/>
    <w:rsid w:val="002B429B"/>
    <w:rsid w:val="002D6876"/>
    <w:rsid w:val="002E6383"/>
    <w:rsid w:val="00333651"/>
    <w:rsid w:val="003467EA"/>
    <w:rsid w:val="003A04B0"/>
    <w:rsid w:val="003C5C38"/>
    <w:rsid w:val="00475236"/>
    <w:rsid w:val="004D0713"/>
    <w:rsid w:val="004D4888"/>
    <w:rsid w:val="004D491C"/>
    <w:rsid w:val="00583967"/>
    <w:rsid w:val="005B11AE"/>
    <w:rsid w:val="00601F4A"/>
    <w:rsid w:val="006172C3"/>
    <w:rsid w:val="00623950"/>
    <w:rsid w:val="006723FE"/>
    <w:rsid w:val="006735F0"/>
    <w:rsid w:val="00696358"/>
    <w:rsid w:val="006A5F53"/>
    <w:rsid w:val="006B54C6"/>
    <w:rsid w:val="006D0BD6"/>
    <w:rsid w:val="006D1B60"/>
    <w:rsid w:val="006D5B8E"/>
    <w:rsid w:val="006E5713"/>
    <w:rsid w:val="0070041D"/>
    <w:rsid w:val="00746FCA"/>
    <w:rsid w:val="00790B7A"/>
    <w:rsid w:val="007A3A9D"/>
    <w:rsid w:val="007F26FB"/>
    <w:rsid w:val="008022A8"/>
    <w:rsid w:val="008146AE"/>
    <w:rsid w:val="00851204"/>
    <w:rsid w:val="00854926"/>
    <w:rsid w:val="00863C99"/>
    <w:rsid w:val="008B07E8"/>
    <w:rsid w:val="008B4E91"/>
    <w:rsid w:val="008C5A19"/>
    <w:rsid w:val="008F38BD"/>
    <w:rsid w:val="009154EF"/>
    <w:rsid w:val="0093448C"/>
    <w:rsid w:val="00961931"/>
    <w:rsid w:val="009A637E"/>
    <w:rsid w:val="009E648F"/>
    <w:rsid w:val="00A77E5C"/>
    <w:rsid w:val="00AB4975"/>
    <w:rsid w:val="00B30792"/>
    <w:rsid w:val="00B3118B"/>
    <w:rsid w:val="00B5272B"/>
    <w:rsid w:val="00B93817"/>
    <w:rsid w:val="00BE0696"/>
    <w:rsid w:val="00BF103A"/>
    <w:rsid w:val="00CD37ED"/>
    <w:rsid w:val="00D01FAC"/>
    <w:rsid w:val="00D0399F"/>
    <w:rsid w:val="00D3476D"/>
    <w:rsid w:val="00D54043"/>
    <w:rsid w:val="00D60001"/>
    <w:rsid w:val="00E340E3"/>
    <w:rsid w:val="00E54E7E"/>
    <w:rsid w:val="00E82F37"/>
    <w:rsid w:val="00E97384"/>
    <w:rsid w:val="00EF2066"/>
    <w:rsid w:val="00F37658"/>
    <w:rsid w:val="00F7587D"/>
    <w:rsid w:val="00FF40D1"/>
    <w:rsid w:val="02306473"/>
    <w:rsid w:val="054E40A4"/>
    <w:rsid w:val="059935DB"/>
    <w:rsid w:val="07513929"/>
    <w:rsid w:val="0A1352A1"/>
    <w:rsid w:val="0AFD340D"/>
    <w:rsid w:val="0EF50AAF"/>
    <w:rsid w:val="11C34157"/>
    <w:rsid w:val="12CA4601"/>
    <w:rsid w:val="13C1380D"/>
    <w:rsid w:val="13F1504E"/>
    <w:rsid w:val="143D56FE"/>
    <w:rsid w:val="183F400D"/>
    <w:rsid w:val="1A954C7E"/>
    <w:rsid w:val="1DF56399"/>
    <w:rsid w:val="202E5430"/>
    <w:rsid w:val="20D9378B"/>
    <w:rsid w:val="236750B6"/>
    <w:rsid w:val="2403501B"/>
    <w:rsid w:val="25892E14"/>
    <w:rsid w:val="28DE3D4C"/>
    <w:rsid w:val="2A5C5449"/>
    <w:rsid w:val="2B075653"/>
    <w:rsid w:val="2C9D6840"/>
    <w:rsid w:val="2CBF6D77"/>
    <w:rsid w:val="309552B0"/>
    <w:rsid w:val="31471A6E"/>
    <w:rsid w:val="3457433E"/>
    <w:rsid w:val="34A017A4"/>
    <w:rsid w:val="357605C6"/>
    <w:rsid w:val="3590655B"/>
    <w:rsid w:val="39074074"/>
    <w:rsid w:val="3909405D"/>
    <w:rsid w:val="392D1858"/>
    <w:rsid w:val="39475503"/>
    <w:rsid w:val="39FD2833"/>
    <w:rsid w:val="3A3401DB"/>
    <w:rsid w:val="3CD639B9"/>
    <w:rsid w:val="3EEA53A7"/>
    <w:rsid w:val="3FF53C05"/>
    <w:rsid w:val="47143D2B"/>
    <w:rsid w:val="47446088"/>
    <w:rsid w:val="48715F27"/>
    <w:rsid w:val="4A965E68"/>
    <w:rsid w:val="4AD03B81"/>
    <w:rsid w:val="516C4CC5"/>
    <w:rsid w:val="52E96D9B"/>
    <w:rsid w:val="54020BD9"/>
    <w:rsid w:val="566A66CA"/>
    <w:rsid w:val="583F4AD3"/>
    <w:rsid w:val="5ACD02BD"/>
    <w:rsid w:val="5BB35F21"/>
    <w:rsid w:val="5C6A27BB"/>
    <w:rsid w:val="5CB41E19"/>
    <w:rsid w:val="5D4F058C"/>
    <w:rsid w:val="5FDC090F"/>
    <w:rsid w:val="61AF3614"/>
    <w:rsid w:val="62753089"/>
    <w:rsid w:val="62D21546"/>
    <w:rsid w:val="63755C9E"/>
    <w:rsid w:val="661A1DE6"/>
    <w:rsid w:val="665E4A68"/>
    <w:rsid w:val="669B6734"/>
    <w:rsid w:val="6C4722FD"/>
    <w:rsid w:val="6FFC3B92"/>
    <w:rsid w:val="70394BAE"/>
    <w:rsid w:val="73E32927"/>
    <w:rsid w:val="75256E70"/>
    <w:rsid w:val="762661A1"/>
    <w:rsid w:val="76966F18"/>
    <w:rsid w:val="7C9F6B68"/>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34" w:semiHidden="0" w:name="List Paragraph"/>
  </w:latentStyles>
  <w:style w:type="paragraph" w:default="1" w:styleId="1">
    <w:name w:val="Normal"/>
    <w:qFormat/>
    <w:uiPriority w:val="0"/>
    <w:pPr>
      <w:suppressAutoHyphens/>
    </w:pPr>
    <w:rPr>
      <w:rFonts w:ascii="Times New Roman" w:hAnsi="Times New Roman" w:eastAsia="Times New Roman" w:cs="Times New Roman"/>
      <w:sz w:val="24"/>
      <w:szCs w:val="24"/>
      <w:lang w:val="sl-SI" w:eastAsia="ar-SA" w:bidi="ar-SA"/>
    </w:rPr>
  </w:style>
  <w:style w:type="paragraph" w:styleId="2">
    <w:name w:val="heading 1"/>
    <w:basedOn w:val="1"/>
    <w:next w:val="1"/>
    <w:qFormat/>
    <w:uiPriority w:val="0"/>
    <w:pPr>
      <w:ind w:left="910" w:hanging="792"/>
      <w:outlineLvl w:val="0"/>
    </w:pPr>
    <w:rPr>
      <w:b/>
      <w:bCs/>
      <w:sz w:val="28"/>
      <w:szCs w:val="28"/>
    </w:rPr>
  </w:style>
  <w:style w:type="paragraph" w:styleId="3">
    <w:name w:val="heading 2"/>
    <w:basedOn w:val="1"/>
    <w:next w:val="1"/>
    <w:qFormat/>
    <w:uiPriority w:val="0"/>
    <w:pPr>
      <w:ind w:left="118"/>
      <w:outlineLvl w:val="1"/>
    </w:pPr>
    <w:rPr>
      <w:b/>
      <w:bCs/>
    </w:rPr>
  </w:style>
  <w:style w:type="character" w:default="1" w:styleId="4">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character" w:styleId="6">
    <w:name w:val="Strong"/>
    <w:qFormat/>
    <w:uiPriority w:val="22"/>
    <w:rPr>
      <w:b/>
      <w:bCs/>
    </w:rPr>
  </w:style>
  <w:style w:type="character" w:styleId="7">
    <w:name w:val="footnote reference"/>
    <w:basedOn w:val="4"/>
    <w:semiHidden/>
    <w:unhideWhenUsed/>
    <w:qFormat/>
    <w:uiPriority w:val="99"/>
    <w:rPr>
      <w:vertAlign w:val="superscript"/>
    </w:rPr>
  </w:style>
  <w:style w:type="character" w:styleId="8">
    <w:name w:val="Hyperlink"/>
    <w:basedOn w:val="4"/>
    <w:semiHidden/>
    <w:unhideWhenUsed/>
    <w:qFormat/>
    <w:uiPriority w:val="99"/>
    <w:rPr>
      <w:color w:val="0563C1"/>
      <w:u w:val="single"/>
    </w:rPr>
  </w:style>
  <w:style w:type="paragraph" w:styleId="9">
    <w:name w:val="Balloon Text"/>
    <w:basedOn w:val="1"/>
    <w:link w:val="16"/>
    <w:semiHidden/>
    <w:unhideWhenUsed/>
    <w:qFormat/>
    <w:uiPriority w:val="99"/>
    <w:rPr>
      <w:rFonts w:ascii="Segoe UI" w:hAnsi="Segoe UI" w:cs="Segoe UI"/>
      <w:sz w:val="18"/>
      <w:szCs w:val="18"/>
    </w:rPr>
  </w:style>
  <w:style w:type="paragraph" w:styleId="10">
    <w:name w:val="footnote text"/>
    <w:basedOn w:val="1"/>
    <w:semiHidden/>
    <w:unhideWhenUsed/>
    <w:qFormat/>
    <w:uiPriority w:val="99"/>
    <w:rPr>
      <w:sz w:val="20"/>
      <w:szCs w:val="20"/>
    </w:rPr>
  </w:style>
  <w:style w:type="paragraph" w:styleId="11">
    <w:name w:val="header"/>
    <w:basedOn w:val="1"/>
    <w:qFormat/>
    <w:uiPriority w:val="0"/>
    <w:pPr>
      <w:tabs>
        <w:tab w:val="center" w:pos="4153"/>
        <w:tab w:val="right" w:pos="8306"/>
      </w:tabs>
      <w:snapToGrid w:val="0"/>
    </w:pPr>
    <w:rPr>
      <w:sz w:val="18"/>
      <w:szCs w:val="18"/>
    </w:rPr>
  </w:style>
  <w:style w:type="paragraph" w:styleId="12">
    <w:name w:val="footer"/>
    <w:basedOn w:val="1"/>
    <w:qFormat/>
    <w:uiPriority w:val="0"/>
    <w:pPr>
      <w:tabs>
        <w:tab w:val="center" w:pos="4153"/>
        <w:tab w:val="right" w:pos="8306"/>
      </w:tabs>
      <w:snapToGrid w:val="0"/>
    </w:pPr>
    <w:rPr>
      <w:sz w:val="18"/>
      <w:szCs w:val="18"/>
    </w:rPr>
  </w:style>
  <w:style w:type="paragraph" w:styleId="13">
    <w:name w:val="Plain Text"/>
    <w:basedOn w:val="1"/>
    <w:semiHidden/>
    <w:unhideWhenUsed/>
    <w:qFormat/>
    <w:uiPriority w:val="99"/>
    <w:pPr>
      <w:spacing w:after="0" w:line="240" w:lineRule="auto"/>
    </w:pPr>
    <w:rPr>
      <w:rFonts w:ascii="Calibri" w:hAnsi="Calibri"/>
      <w:szCs w:val="21"/>
    </w:rPr>
  </w:style>
  <w:style w:type="paragraph" w:styleId="14">
    <w:name w:val="Body Text"/>
    <w:basedOn w:val="1"/>
    <w:qFormat/>
    <w:uiPriority w:val="0"/>
  </w:style>
  <w:style w:type="paragraph" w:styleId="15">
    <w:name w:val="List Paragraph"/>
    <w:basedOn w:val="1"/>
    <w:qFormat/>
    <w:uiPriority w:val="34"/>
    <w:pPr>
      <w:ind w:left="720"/>
      <w:contextualSpacing/>
    </w:pPr>
  </w:style>
  <w:style w:type="character" w:customStyle="1" w:styleId="16">
    <w:name w:val="Balloon Text Char"/>
    <w:basedOn w:val="4"/>
    <w:link w:val="9"/>
    <w:semiHidden/>
    <w:qFormat/>
    <w:uiPriority w:val="99"/>
    <w:rPr>
      <w:rFonts w:ascii="Segoe UI" w:hAnsi="Segoe UI" w:eastAsia="Times New Roman" w:cs="Segoe UI"/>
      <w:sz w:val="18"/>
      <w:szCs w:val="18"/>
      <w:lang w:eastAsia="ar-SA"/>
    </w:rPr>
  </w:style>
  <w:style w:type="paragraph" w:customStyle="1" w:styleId="17">
    <w:name w:val="Body"/>
    <w:qFormat/>
    <w:uiPriority w:val="0"/>
    <w:rPr>
      <w:rFonts w:ascii="Helvetica Neue" w:hAnsi="Helvetica Neue" w:eastAsia="Arial Unicode MS" w:cs="Arial Unicode MS"/>
      <w:color w:val="000000"/>
      <w:sz w:val="22"/>
      <w:szCs w:val="22"/>
      <w:lang w:val="en-US" w:eastAsia="en-US" w:bidi="ar-SA"/>
    </w:rPr>
  </w:style>
  <w:style w:type="paragraph" w:customStyle="1" w:styleId="18">
    <w:name w:val="Header &amp; Footer"/>
    <w:qFormat/>
    <w:uiPriority w:val="0"/>
    <w:pPr>
      <w:framePr w:wrap="around" w:vAnchor="margin" w:hAnchor="text" w:yAlign="top"/>
      <w:tabs>
        <w:tab w:val="right" w:pos="9020"/>
      </w:tabs>
    </w:pPr>
    <w:rPr>
      <w:rFonts w:ascii="Helvetica Neue" w:hAnsi="Helvetica Neue" w:eastAsia="Arial Unicode MS" w:cs="Arial Unicode MS"/>
      <w:color w:val="000000"/>
      <w:sz w:val="24"/>
      <w:szCs w:val="24"/>
      <w:lang w:val="sl-SI" w:eastAsia="sl-SI" w:bidi="ar-SA"/>
    </w:rPr>
  </w:style>
  <w:style w:type="table" w:customStyle="1" w:styleId="19">
    <w:name w:val="TableGrid"/>
    <w:qFormat/>
    <w:uiPriority w:val="0"/>
    <w:rPr>
      <w:rFonts w:asciiTheme="minorHAnsi" w:hAnsiTheme="minorHAnsi" w:eastAsiaTheme="minorEastAsia" w:cstheme="minorBidi"/>
      <w:sz w:val="22"/>
      <w:szCs w:val="22"/>
    </w:rPr>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footer" Target="footer1.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HP Inc.</Company>
  <Pages>21</Pages>
  <Words>9995</Words>
  <Characters>56978</Characters>
  <Lines>474</Lines>
  <Paragraphs>133</Paragraphs>
  <TotalTime>23</TotalTime>
  <ScaleCrop>false</ScaleCrop>
  <LinksUpToDate>false</LinksUpToDate>
  <CharactersWithSpaces>66840</CharactersWithSpaces>
  <Application>WPS Office_12.2.0.19805_F1E327BC-269C-435d-A152-05C5408002CA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2019-04-25T18:26:00Z</dcterms:created>
  <dc:creator>Andrej Šmid</dc:creator>
  <cp:lastModifiedBy>Andrej Smid</cp:lastModifiedBy>
  <cp:lastPrinted>2024-12-02T06:42:00Z</cp:lastPrinted>
  <dcterms:modified xsi:type="dcterms:W3CDTF">2025-02-25T00:03:37Z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1031-12.2.0.19805</vt:lpwstr>
  </property>
  <property fmtid="{D5CDD505-2E9C-101B-9397-08002B2CF9AE}" pid="3" name="ICV">
    <vt:lpwstr>6997DBDEA63443EBBD6704419CA461DC_13</vt:lpwstr>
  </property>
</Properties>
</file>